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编号：JSZC-321000-NJJD-G2025-0029</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扬州市城市河道管理处2026年闸站管护项目</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50"/>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562"/>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采购人：扬州市城市河道管理处</w:t>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采购代理机构：南京金鼎工程造价评估有限责任公司</w:t>
      </w:r>
      <w:r/>
    </w:p>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发放时间：2025年12月5日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3</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19</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22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87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92</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扬州市城市河道管理处2026年闸站管护项目</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2025年12月26日14点30分</w:t>
            </w:r>
            <w:r>
              <w:rPr>
                <w:rFonts w:ascii="SimSun" w:hAnsi="SimSun" w:eastAsia="SimSun" w:cs="SimSun"/>
                <w:color w:val="000000"/>
                <w:sz w:val="22"/>
              </w:rPr>
              <w:t xml:space="preserve">（北京时间）前递交投标文件。</w:t>
            </w:r>
            <w:r/>
          </w:p>
        </w:tc>
      </w:tr>
    </w:tbl>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项目编号：JSZC-321000-NJJD-G2025-0029</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项目名称：扬州市城市河道管理处2026年闸站管护项目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预算金额：人民币836.8万元（其中采购包1：526万元，采购包2：310.8万元）</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最高限价（如有）：人民币834.13万元（其中采购包1：523.87万元，采购包2：310.26万元），各包报价超过各包最高限价的为无效报价，按无效投标处理。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可多包兼投。请各投标人按所投包号分别制作投标文件上传系统。评审时，按采购包1至采购包2的顺序开标评标中标，同一投标人只能中标一个包，不可选择。如同一投标人已中标采购包1,仍为采购包2第一中标候选人，则采购包2由第二中标候选人中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合同履行期限：2026年1月1日至2026年12月31日。</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2.依法缴纳职工社会保障资金的证明材料</w:t>
      </w:r>
      <w:r>
        <w:rPr>
          <w:rFonts w:ascii="SimSun" w:hAnsi="SimSun" w:eastAsia="SimSun" w:cs="SimSun"/>
          <w:b/>
          <w:i/>
          <w:color w:val="000000"/>
          <w:sz w:val="22"/>
          <w:u w:val="single"/>
        </w:rPr>
        <w:t xml:space="preserve">(税务、银行或社会保险基金管理部门出具的近一年内任意一个月缴纳职工社会保障资金的缴款凭证或缴款证明)（投标供应商依法享受缓缴、免缴的提供证明材料）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3.投标供应商近一年内任意一份依法纳税的缴款凭证</w:t>
      </w:r>
      <w:r>
        <w:rPr>
          <w:rFonts w:ascii="SimSun" w:hAnsi="SimSun" w:eastAsia="SimSun" w:cs="SimSun"/>
          <w:b/>
          <w:i/>
          <w:color w:val="000000"/>
          <w:sz w:val="22"/>
          <w:u w:val="single"/>
        </w:rPr>
        <w:t xml:space="preserve">（投标供应商依法享受缓缴、免缴的提供证明材料）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4.上一年度的财务报告情况（</w:t>
      </w:r>
      <w:r>
        <w:rPr>
          <w:rFonts w:ascii="SimSun" w:hAnsi="SimSun" w:eastAsia="SimSun" w:cs="SimSun"/>
          <w:b/>
          <w:i/>
          <w:color w:val="000000"/>
          <w:sz w:val="22"/>
          <w:u w:val="single"/>
        </w:rPr>
        <w:t xml:space="preserve">成立不满一年不需提供）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5.具备履行合同所必需的设备和专业技术能力的证明材料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6.参加本次政府采购活动前3年内在经营活动中没有重大违法记录的书面声明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7.供应商信用承诺函</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采购包1：本项目对小型和微型企业、残疾人福利单位、监狱和戒毒企业给予20%的价格扣除。投标人投标时须提供《中小企业声明函》，不符合要求或未提供的不给予20%的价格扣除。</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采购包2：本项目专门面向中小企业采购。投标供应商投标时须提供《中小企业声明函》，《中小企业声明函》不符合要求或未提供的，投标文件无效。</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无。</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时间：自招标文件公告发布之日起5个工作日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投标文件接收截止时间：2025年12月26日14点30分（北京时间）</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投标文件开标时间：2025年12月26日14点30分（北京时间）</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806"/>
            <w:rFonts w:ascii="SimSun" w:hAnsi="SimSun" w:eastAsia="SimSun" w:cs="SimSun"/>
            <w:b/>
            <w:color w:val="0000ee"/>
            <w:sz w:val="22"/>
            <w:u w:val="single"/>
          </w:rPr>
          <w:t xml:space="preserve">http://jszfcg.jsczt.cn/）</w:t>
        </w:r>
      </w:hyperlink>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562"/>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4.本项目招标不收取投标保证金。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5.有关本次招标的事项若存在变动或修改，敬请及时关注“中国政府采购网”、“江苏省政府采购网”、“扬州市政府采购网”发布的信息。</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6.本项目招标文件中所有斜体下划线部分为实质性条款，如不满足，则为无效投标。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7.如在开标时间发生系统崩溃等不可预见的情况，造成开评标活动无法正常进行的，将延迟开评标，具体开评标时间另行通知。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9.供应商对于投标产品的包装应按照“财办库〔2020〕123号《关于印发《商品包装政府采购需求标准（试行）》、《快递包装政府采购需求标准（试行）》的通知》”执行；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10.落实好政府采购履约资金扶持政策。中标/中标供应商可凭政府采购合同办理融资贷款，详见江苏政府采购网“政采贷”专栏；</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2"/>
        </w:rPr>
        <w:t xml:space="preserve">先采购节能产品、环境标志产品。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12.潜在投标供应商访问政府采购管理交易系统（苏采云）的网络地址和方法：</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w:t>
      </w:r>
      <w:r>
        <w:rPr>
          <w:rFonts w:ascii="SimSun" w:hAnsi="SimSun" w:eastAsia="SimSun" w:cs="SimSun"/>
          <w:color w:val="000000"/>
          <w:sz w:val="21"/>
        </w:rPr>
        <w:t xml:space="preserve">）潜在供应商访问政府采购管理交易系统（苏采云）的方法：“苏采云”系统用户注册</w:t>
      </w:r>
      <w:r>
        <w:rPr>
          <w:rFonts w:ascii="SimSun" w:hAnsi="SimSun" w:eastAsia="SimSun" w:cs="SimSun"/>
          <w:color w:val="000000"/>
          <w:sz w:val="22"/>
        </w:rPr>
        <w:t xml:space="preserve">--</w:t>
      </w:r>
      <w:r>
        <w:rPr>
          <w:rFonts w:ascii="SimSun" w:hAnsi="SimSun" w:eastAsia="SimSun" w:cs="SimSun"/>
          <w:color w:val="000000"/>
          <w:sz w:val="21"/>
        </w:rPr>
        <w:t xml:space="preserve">获取“</w:t>
      </w:r>
      <w:r>
        <w:rPr>
          <w:rFonts w:ascii="SimSun" w:hAnsi="SimSun" w:eastAsia="SimSun" w:cs="SimSun"/>
          <w:color w:val="000000"/>
          <w:sz w:val="22"/>
        </w:rPr>
        <w:t xml:space="preserve">CA</w:t>
      </w:r>
      <w:r>
        <w:rPr>
          <w:rFonts w:ascii="SimSun" w:hAnsi="SimSun" w:eastAsia="SimSun" w:cs="SimSun"/>
          <w:color w:val="000000"/>
          <w:sz w:val="21"/>
        </w:rPr>
        <w:t xml:space="preserve">数字证书”</w:t>
      </w:r>
      <w:r>
        <w:rPr>
          <w:rFonts w:ascii="SimSun" w:hAnsi="SimSun" w:eastAsia="SimSun" w:cs="SimSun"/>
          <w:color w:val="000000"/>
          <w:sz w:val="22"/>
        </w:rPr>
        <w:t xml:space="preserve">--CA</w:t>
      </w:r>
      <w:r>
        <w:rPr>
          <w:rFonts w:ascii="SimSun" w:hAnsi="SimSun" w:eastAsia="SimSun" w:cs="SimSun"/>
          <w:color w:val="000000"/>
          <w:sz w:val="21"/>
        </w:rPr>
        <w:t xml:space="preserve">绑定与登录</w:t>
      </w:r>
      <w:r>
        <w:rPr>
          <w:rFonts w:ascii="SimSun" w:hAnsi="SimSun" w:eastAsia="SimSun" w:cs="SimSun"/>
          <w:color w:val="000000"/>
          <w:sz w:val="22"/>
        </w:rPr>
        <w:t xml:space="preserve">--</w:t>
      </w:r>
      <w:r>
        <w:rPr>
          <w:rFonts w:ascii="SimSun" w:hAnsi="SimSun" w:eastAsia="SimSun" w:cs="SimSun"/>
          <w:color w:val="000000"/>
          <w:sz w:val="21"/>
        </w:rPr>
        <w:t xml:space="preserve">网上报名</w:t>
      </w:r>
      <w:r>
        <w:rPr>
          <w:rFonts w:ascii="SimSun" w:hAnsi="SimSun" w:eastAsia="SimSun" w:cs="SimSun"/>
          <w:color w:val="000000"/>
          <w:sz w:val="22"/>
        </w:rPr>
        <w:t xml:space="preserve">--</w:t>
      </w:r>
      <w:r>
        <w:rPr>
          <w:rFonts w:ascii="SimSun" w:hAnsi="SimSun" w:eastAsia="SimSun" w:cs="SimSun"/>
          <w:color w:val="000000"/>
          <w:sz w:val="21"/>
        </w:rPr>
        <w:t xml:space="preserve">下载采购文件（后缀名为“</w:t>
      </w:r>
      <w:r>
        <w:rPr>
          <w:rFonts w:ascii="SimSun" w:hAnsi="SimSun" w:eastAsia="SimSun" w:cs="SimSun"/>
          <w:color w:val="000000"/>
          <w:sz w:val="22"/>
        </w:rPr>
        <w:t xml:space="preserve">.kedt</w:t>
      </w:r>
      <w:r>
        <w:rPr>
          <w:rFonts w:ascii="SimSun" w:hAnsi="SimSun" w:eastAsia="SimSun" w:cs="SimSun"/>
          <w:color w:val="000000"/>
          <w:sz w:val="21"/>
        </w:rPr>
        <w:t xml:space="preserve">”）</w:t>
      </w:r>
      <w:r>
        <w:rPr>
          <w:rFonts w:ascii="SimSun" w:hAnsi="SimSun" w:eastAsia="SimSun" w:cs="SimSun"/>
          <w:color w:val="000000"/>
          <w:sz w:val="22"/>
        </w:rPr>
        <w:t xml:space="preserve">--</w:t>
      </w:r>
      <w:r>
        <w:rPr>
          <w:rFonts w:ascii="SimSun" w:hAnsi="SimSun" w:eastAsia="SimSun" w:cs="SimSun"/>
          <w:color w:val="000000"/>
          <w:sz w:val="21"/>
        </w:rPr>
        <w:t xml:space="preserve">将后缀名为“</w:t>
      </w:r>
      <w:r>
        <w:rPr>
          <w:rFonts w:ascii="SimSun" w:hAnsi="SimSun" w:eastAsia="SimSun" w:cs="SimSun"/>
          <w:color w:val="000000"/>
          <w:sz w:val="22"/>
        </w:rPr>
        <w:t xml:space="preserve">.kedt</w:t>
      </w:r>
      <w:r>
        <w:rPr>
          <w:rFonts w:ascii="SimSun" w:hAnsi="SimSun" w:eastAsia="SimSun" w:cs="SimSun"/>
          <w:color w:val="000000"/>
          <w:sz w:val="21"/>
        </w:rPr>
        <w:t xml:space="preserve">”的采购文件导入政府采购客户端工具</w:t>
      </w:r>
      <w:r>
        <w:rPr>
          <w:rFonts w:ascii="SimSun" w:hAnsi="SimSun" w:eastAsia="SimSun" w:cs="SimSun"/>
          <w:color w:val="000000"/>
          <w:sz w:val="22"/>
        </w:rPr>
        <w:t xml:space="preserve">--</w:t>
      </w:r>
      <w:r>
        <w:rPr>
          <w:rFonts w:ascii="SimSun" w:hAnsi="SimSun" w:eastAsia="SimSun" w:cs="SimSun"/>
          <w:color w:val="000000"/>
          <w:sz w:val="21"/>
        </w:rPr>
        <w:t xml:space="preserve">制作投标文件</w:t>
      </w:r>
      <w:r>
        <w:rPr>
          <w:rFonts w:ascii="SimSun" w:hAnsi="SimSun" w:eastAsia="SimSun" w:cs="SimSun"/>
          <w:color w:val="000000"/>
          <w:sz w:val="22"/>
        </w:rPr>
        <w:t xml:space="preserve">--</w:t>
      </w:r>
      <w:r>
        <w:rPr>
          <w:rFonts w:ascii="SimSun" w:hAnsi="SimSun" w:eastAsia="SimSun" w:cs="SimSun"/>
          <w:color w:val="000000"/>
          <w:sz w:val="21"/>
        </w:rPr>
        <w:t xml:space="preserve">导出加密的投标文件（后缀名为</w:t>
      </w:r>
      <w:r>
        <w:rPr>
          <w:rFonts w:ascii="SimSun" w:hAnsi="SimSun" w:eastAsia="SimSun" w:cs="SimSun"/>
          <w:color w:val="000000"/>
          <w:sz w:val="22"/>
        </w:rPr>
        <w:t xml:space="preserve">zip</w:t>
      </w:r>
      <w:r>
        <w:rPr>
          <w:rFonts w:ascii="SimSun" w:hAnsi="SimSun" w:eastAsia="SimSun" w:cs="SimSun"/>
          <w:color w:val="000000"/>
          <w:sz w:val="21"/>
        </w:rPr>
        <w:t xml:space="preserve">）</w:t>
      </w:r>
      <w:r>
        <w:rPr>
          <w:rFonts w:ascii="SimSun" w:hAnsi="SimSun" w:eastAsia="SimSun" w:cs="SimSun"/>
          <w:color w:val="000000"/>
          <w:sz w:val="22"/>
        </w:rPr>
        <w:t xml:space="preserve">--</w:t>
      </w:r>
      <w:r>
        <w:rPr>
          <w:rFonts w:ascii="SimSun" w:hAnsi="SimSun" w:eastAsia="SimSun" w:cs="SimSun"/>
          <w:color w:val="000000"/>
          <w:sz w:val="21"/>
        </w:rPr>
        <w:t xml:space="preserve">通过“苏采云”系统上传投标文件。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CA</w:t>
      </w:r>
      <w:r>
        <w:rPr>
          <w:rFonts w:ascii="SimSun" w:hAnsi="SimSun" w:eastAsia="SimSun" w:cs="SimSun"/>
          <w:color w:val="000000"/>
          <w:sz w:val="21"/>
        </w:rPr>
        <w:t xml:space="preserve">数字证书”的获取：供应商需办理</w:t>
      </w:r>
      <w:r>
        <w:rPr>
          <w:rFonts w:ascii="SimSun" w:hAnsi="SimSun" w:eastAsia="SimSun" w:cs="SimSun"/>
          <w:color w:val="000000"/>
          <w:sz w:val="22"/>
        </w:rPr>
        <w:t xml:space="preserve">CA</w:t>
      </w:r>
      <w:r>
        <w:rPr>
          <w:rFonts w:ascii="SimSun" w:hAnsi="SimSun" w:eastAsia="SimSun" w:cs="SimSun"/>
          <w:color w:val="000000"/>
          <w:sz w:val="21"/>
        </w:rPr>
        <w:t xml:space="preserve">锁，“苏采云”系统目前仅支持“苏采云”系统下的政务</w:t>
      </w:r>
      <w:r>
        <w:rPr>
          <w:rFonts w:ascii="SimSun" w:hAnsi="SimSun" w:eastAsia="SimSun" w:cs="SimSun"/>
          <w:color w:val="000000"/>
          <w:sz w:val="22"/>
        </w:rPr>
        <w:t xml:space="preserve">CA</w:t>
      </w:r>
      <w:r>
        <w:rPr>
          <w:rFonts w:ascii="SimSun" w:hAnsi="SimSun" w:eastAsia="SimSun" w:cs="SimSun"/>
          <w:color w:val="000000"/>
          <w:sz w:val="21"/>
        </w:rPr>
        <w:t xml:space="preserve">，省内各地区办理的“苏采云”系统下的政务</w:t>
      </w:r>
      <w:r>
        <w:rPr>
          <w:rFonts w:ascii="SimSun" w:hAnsi="SimSun" w:eastAsia="SimSun" w:cs="SimSun"/>
          <w:color w:val="000000"/>
          <w:sz w:val="22"/>
        </w:rPr>
        <w:t xml:space="preserve">CA</w:t>
      </w:r>
      <w:r>
        <w:rPr>
          <w:rFonts w:ascii="SimSun" w:hAnsi="SimSun" w:eastAsia="SimSun" w:cs="SimSun"/>
          <w:color w:val="000000"/>
          <w:sz w:val="21"/>
        </w:rPr>
        <w:t xml:space="preserve">全省通用。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w:t>
      </w:r>
      <w:r>
        <w:rPr>
          <w:rFonts w:ascii="SimSun" w:hAnsi="SimSun" w:eastAsia="SimSun" w:cs="SimSun"/>
          <w:color w:val="000000"/>
          <w:sz w:val="22"/>
        </w:rPr>
        <w:t xml:space="preserve">CA</w:t>
      </w:r>
      <w:r>
        <w:rPr>
          <w:rFonts w:ascii="SimSun" w:hAnsi="SimSun" w:eastAsia="SimSun" w:cs="SimSun"/>
          <w:color w:val="000000"/>
          <w:sz w:val="21"/>
        </w:rPr>
        <w:t xml:space="preserve">数字证书”的办理材料以及供应商操作手册详见：http://zfcg.yangzhou.gov.cn/zfcg/xzzx/202309/4d7de1f7865f4a2894fc22bc452f94d8.shtml。</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w:t>
      </w:r>
      <w:r>
        <w:rPr>
          <w:rFonts w:ascii="SimSun" w:hAnsi="SimSun" w:eastAsia="SimSun" w:cs="SimSun"/>
          <w:color w:val="000000"/>
          <w:sz w:val="21"/>
        </w:rPr>
        <w:t xml:space="preserve">）潜在供应商访问“苏采云”系统的网络地址和方法：“苏采云”系统的网址：</w:t>
      </w:r>
      <w:r>
        <w:rPr>
          <w:rFonts w:ascii="SimSun" w:hAnsi="SimSun" w:eastAsia="SimSun" w:cs="SimSun"/>
          <w:color w:val="000000"/>
          <w:sz w:val="22"/>
        </w:rPr>
        <w:t xml:space="preserve">http://jszfcg.jsczt.cn/</w:t>
      </w:r>
      <w:r>
        <w:rPr>
          <w:rFonts w:ascii="SimSun" w:hAnsi="SimSun" w:eastAsia="SimSun" w:cs="SimSun"/>
          <w:color w:val="000000"/>
          <w:sz w:val="21"/>
        </w:rPr>
        <w:t xml:space="preserve">。</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5</w:t>
      </w:r>
      <w:r>
        <w:rPr>
          <w:rFonts w:ascii="SimSun" w:hAnsi="SimSun" w:eastAsia="SimSun" w:cs="SimSun"/>
          <w:color w:val="000000"/>
          <w:sz w:val="21"/>
        </w:rPr>
        <w:t xml:space="preserve">）采购文件（后缀名为“</w:t>
      </w:r>
      <w:r>
        <w:rPr>
          <w:rFonts w:ascii="SimSun" w:hAnsi="SimSun" w:eastAsia="SimSun" w:cs="SimSun"/>
          <w:color w:val="000000"/>
          <w:sz w:val="22"/>
        </w:rPr>
        <w:t xml:space="preserve">.kedt</w:t>
      </w:r>
      <w:r>
        <w:rPr>
          <w:rFonts w:ascii="SimSun" w:hAnsi="SimSun" w:eastAsia="SimSun" w:cs="SimSun"/>
          <w:color w:val="000000"/>
          <w:sz w:val="21"/>
        </w:rPr>
        <w:t xml:space="preserve">”）、供应商操作手册及政府采购客户端工具也可通过“苏采云”系统</w:t>
      </w:r>
      <w:r>
        <w:rPr>
          <w:rFonts w:ascii="SimSun" w:hAnsi="SimSun" w:eastAsia="SimSun" w:cs="SimSun"/>
          <w:color w:val="000000"/>
          <w:sz w:val="22"/>
        </w:rPr>
        <w:t xml:space="preserve">--</w:t>
      </w:r>
      <w:r>
        <w:rPr>
          <w:rFonts w:ascii="SimSun" w:hAnsi="SimSun" w:eastAsia="SimSun" w:cs="SimSun"/>
          <w:color w:val="000000"/>
          <w:sz w:val="21"/>
        </w:rPr>
        <w:t xml:space="preserve">已报名项目</w:t>
      </w:r>
      <w:r>
        <w:rPr>
          <w:rFonts w:ascii="SimSun" w:hAnsi="SimSun" w:eastAsia="SimSun" w:cs="SimSun"/>
          <w:color w:val="000000"/>
          <w:sz w:val="22"/>
        </w:rPr>
        <w:t xml:space="preserve">--</w:t>
      </w:r>
      <w:r>
        <w:rPr>
          <w:rFonts w:ascii="SimSun" w:hAnsi="SimSun" w:eastAsia="SimSun" w:cs="SimSun"/>
          <w:color w:val="000000"/>
          <w:sz w:val="21"/>
        </w:rPr>
        <w:t xml:space="preserve">报名详情页面内相应链接进行下载。</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6</w:t>
      </w:r>
      <w:r>
        <w:rPr>
          <w:rFonts w:ascii="SimSun" w:hAnsi="SimSun" w:eastAsia="SimSun" w:cs="SimSun"/>
          <w:color w:val="000000"/>
          <w:sz w:val="21"/>
        </w:rPr>
        <w:t xml:space="preserve">）招标代理机构（采购代理机构）将数据电文形式的采购文件加载至“苏采云”系统，供潜在供应商下载或者查阅。</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7</w:t>
      </w:r>
      <w:r>
        <w:rPr>
          <w:rFonts w:ascii="SimSun" w:hAnsi="SimSun" w:eastAsia="SimSun" w:cs="SimSun"/>
          <w:color w:val="000000"/>
          <w:sz w:val="21"/>
        </w:rPr>
        <w:t xml:space="preserve">）苏采云系统使用谷歌浏览器参与不见面开标</w:t>
      </w:r>
      <w:r>
        <w:rPr>
          <w:rFonts w:ascii="SimSun" w:hAnsi="SimSun" w:eastAsia="SimSun" w:cs="SimSun"/>
          <w:color w:val="000000"/>
          <w:sz w:val="22"/>
        </w:rPr>
        <w:t xml:space="preserve">。</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名称：扬州市城市河道管理处</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地址：扬州市太平北路16号</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联系方式：彭工 0514-87015051</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投标供应商应自行承担所有与参加投标有关的费用，无论投标过程中的做法和结果如何，代理机构在任何情况下均无义务和责任承担这些费用。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本项目代理服务费按照《招标代理服务收费管理暂行办法》计价格[2002]1980号文和发改价格[2011]534号收取，由中标供应商在领取中标通知书前向乙方一次性支付。</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专家评审费按扬财购【2020】40 号文《关于进一步规范扬州市政府采购专家评审费标准的通知》标准执行。</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10.1投标文件由以下部分组成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（5）分项报价表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（6）技术参数响应及偏离表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（7）商务条款响应及偏离表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 （投标供应商认为有必要提供的声明和文件，如有自拟并自行添加）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10.2投标供应商应当根据招标文件要求编制投标文件，投标文件应对招标文件提出的要求和条件作出响应，并在相应的投标文件中逐条标明满足与否。</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14.1投标供应商的服务承诺应按不低于招标文件中商务要求的标准。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开标后，代理机构将立即组织评标委员会（以下简称评委会）进行评标。</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26.2.2出现影响采购公正的违法、违规行为的。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28.2.2对采购过程提出质疑的，应当在各采购程序环节结束之日起7个工作日内提出。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28.2.3对中标结果提出质疑的，应当在中标结果公告期限届满之日起7个工作日内提出。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30、签订合同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31.2投标供应商应对CA证书妥善保管，如被他人盗用投标，因此带来的结果均由投标供应商自行承担。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 提交投标文件的截止时间（投标截止时间）。</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江苏省政府采购合同（服务）（合同编号）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项目名称：扬州市城市河道管理处2026年闸站管护项目（采购包号：）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见证方：南京金鼎工程造价评估有限责任公司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甲、乙双方根据南京金鼎工程造价评估有限责任公司</w:t>
      </w:r>
      <w:r>
        <w:rPr>
          <w:rFonts w:ascii="SimSun" w:hAnsi="SimSun" w:eastAsia="SimSun" w:cs="SimSun"/>
          <w:color w:val="000000"/>
          <w:sz w:val="21"/>
          <w:u w:val="single"/>
        </w:rPr>
        <w:t xml:space="preserve">         </w:t>
      </w:r>
      <w:r>
        <w:rPr>
          <w:rFonts w:ascii="SimSun" w:hAnsi="SimSun" w:eastAsia="SimSun" w:cs="SimSun"/>
          <w:color w:val="000000"/>
          <w:sz w:val="21"/>
        </w:rPr>
        <w:t xml:space="preserve">项目公开招标的结果，签署本合同。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项目名称：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项目服务内容：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合同履行期限：2026年1月1日-2026年12月31日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本合同金额为（大写）：____________________________________圆（_______________元）人民币或其他币种。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3.1乙方应按招标文件规定的时间向甲方提供服务（包含与服务相关的货物）的有关技术资料。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6.1履约保证金收取：无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7.1乙方不得将合同标的转包给他人履行。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7.2乙方不得将合同标的分包给他人履行。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7.3乙方如有转包或未经甲方同意的分包行为，甲方有权解除合同。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8.1合同款项的支付方式及进度安排</w:t>
      </w:r>
      <w:r/>
    </w:p>
    <w:p>
      <w:pPr>
        <w:ind w:left="0" w:right="0" w:firstLine="420"/>
        <w:jc w:val="both"/>
        <w:spacing w:before="0" w:after="0"/>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甲方自收到发票之日起10个工作日内支付合同总价30%的预付款；2026年4月至6月作为第二季度付款，甲方自收到发票之日起10个工作日内支付合同总价的20%；2026年7月至9月作为第三季度付款，甲方自收到发票之日起10个工作日内支付合同总价的25%；2026年10月至12月作为第四季度付款，甲方自收到发票之日起10个工作日内支付合同总价的25%；自二季度开始，每季度结束后，甲方组织考核，依据考核结果支付季度管护服务费用。实际结算额是在管护运行项目中标金额的基础上，结合季度考核的结果，按考核办法《</w:t>
      </w:r>
      <w:r>
        <w:rPr>
          <w:rFonts w:ascii="SimSun" w:hAnsi="SimSun" w:eastAsia="SimSun" w:cs="SimSun"/>
          <w:color w:val="000000"/>
          <w:sz w:val="21"/>
        </w:rPr>
        <w:t xml:space="preserve">扬州市城市河道管理处闸站工程管理考核办法》的规定，确定每季度管理服务的实际支付金额，第四季度在当年12月底前组织考核并支付。</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9.1本合同执行中相关的一切税费均由乙方负担。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10.1本项目的验收方式为甲方依据《扬州市城市河道管理处闸站工程管理考核办法》组织履约考核。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10.2甲方在组织履约考核前应提前通知乙方，明确履约考核的时间、方式、程序等内容，根据项目特点对服务期内的服务实施情况进行月度考核和季度考核。乙方应做好相应配合工作。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如有必要，甲方邀请第三方专业机构及专家参与考核，相关意见将作为考核结果的参考资料。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甲方成立考核小组，按照采购合同的约定对乙方的履约情况进行考核。考核时,甲方按照采购合同的约定对每一项技术、服务、安全标准的履约情况进行确认。考核结束后,考核小组出具考核结果材料,列明各项标准的考核情况及项目总体评价,由考核双方共同签署。考核结果与采购合同约定的资金支付条件挂钩。考核的各项资料存档备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考核合格的项目,甲方根据采购合同的约定及时向乙方支付合同款项。考核不合格的项目，甲方依规及时处理。采购合同的履行、违约责任和解决争议的方式等适用《民法典》。乙方在履约过程中有政府采购法律法规规定的违法违规情形的,甲方将及时报告本级财政部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甲方无故逾期考核和办理合同款项支付手续的,甲方应按逾期付款总额</w:t>
      </w:r>
      <w:r>
        <w:rPr>
          <w:rFonts w:ascii="SimSun" w:hAnsi="SimSun" w:eastAsia="SimSun" w:cs="SimSun"/>
          <w:color w:val="000000"/>
          <w:sz w:val="21"/>
          <w:u w:val="single"/>
        </w:rPr>
        <w:t xml:space="preserve">每日千分之六</w:t>
      </w:r>
      <w:r>
        <w:rPr>
          <w:rFonts w:ascii="SimSun" w:hAnsi="SimSun" w:eastAsia="SimSun" w:cs="SimSun"/>
          <w:color w:val="000000"/>
          <w:sz w:val="21"/>
        </w:rPr>
        <w:t xml:space="preserve">每日向乙方支付违约金。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1"/>
          <w:u w:val="single"/>
        </w:rPr>
        <w:t xml:space="preserve">每日千分之六</w:t>
      </w:r>
      <w:r>
        <w:rPr>
          <w:rFonts w:ascii="SimSun" w:hAnsi="SimSun" w:eastAsia="SimSun" w:cs="SimSun"/>
          <w:color w:val="000000"/>
          <w:sz w:val="21"/>
        </w:rPr>
        <w:t xml:space="preserve">的违约金，如造成甲方损失超过违约金的，超出部分由乙方继续承担赔偿责任。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11.3乙方所提供服务的标准不符合合同规定、招标文件规定或发生《扬州市城市河道管理处闸站工程管理考核办法》规定解约条款的情形，甲方有权拒绝接受服务，并可单方面解除合同。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11.4合同违约情形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11.4.1累计3个月出现管理所月考不合格情况。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11.4.2发生一般及以上安全责任事故，且事故主体责任为运行人员管护不到位。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11.4.3发生重大舆情事故或造成不良社会影响。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11.4.4未完成年度合同约定任务。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11.4.5被市级媒体或局机关及以上的上级部门通报批评两次及以上。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发生上述任何一种情形，甲方有权单方面解除与之签订的管护合同，造成社会影响的，并追究违约责任。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十二、不可抗力事件处理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12.1在合同有效期内，任何一方因不可抗力事件导致不能履行合同，则合同履行期可延长，其延长期与不可抗力影响 期相同。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12.2不可抗力事件发生后，应立即通知对方，并寄送有关权威机构出具的证明。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12.3不可抗力事件延续120天以上，双方应通过友好协商，确定是否继续履行合同。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12.4若在管护期内接市政府通知，发生闸站管护权属变更，则相对应包内工作量由甲方进行核减，合同总价也相应核减，按核减后的价款进行支付。</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十三、解决争议的方法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13.1双方在签订、履行合同中所发生的一切争议，应通过友好协商解决。如协商不成，由甲方住所地人民法院管辖。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合同经双方法定代表人或授权委托代表人签字并加盖单位公章，并经代理机构见证盖章后生效。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14.2本合同未尽事宜，遵照《民法典》、《政府采购法》有关条文执行。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14.3本合同正本一式肆份，具有同等法律效力，甲方执两份，乙方、见证方各执一</w:t>
      </w:r>
      <w:r>
        <w:rPr>
          <w:rFonts w:ascii="SimSun" w:hAnsi="SimSun" w:eastAsia="SimSun" w:cs="SimSun"/>
          <w:color w:val="000000"/>
          <w:sz w:val="20"/>
        </w:rPr>
        <w:t xml:space="preserve">份。</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项目经办人：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pStyle w:val="648"/>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SimSun" w:hAnsi="SimSun" w:eastAsia="SimSun" w:cs="SimSun"/>
          <w:b/>
          <w:color w:val="000000"/>
          <w:sz w:val="24"/>
        </w:rPr>
        <w:t xml:space="preserve">一、采购包</w:t>
      </w:r>
      <w:r>
        <w:rPr>
          <w:rFonts w:ascii="Calibri" w:hAnsi="Calibri" w:eastAsia="Calibri" w:cs="Calibri"/>
          <w:b/>
          <w:color w:val="000000"/>
          <w:sz w:val="24"/>
        </w:rPr>
        <w:t xml:space="preserve">1</w:t>
      </w:r>
      <w:r>
        <w:rPr>
          <w:rFonts w:ascii="SimSun" w:hAnsi="SimSun" w:eastAsia="SimSun" w:cs="SimSun"/>
          <w:b/>
          <w:color w:val="000000"/>
          <w:sz w:val="24"/>
        </w:rPr>
        <w:t xml:space="preserve">项目需求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1、基本情况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项目概况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市城市河道管理处下辖的9座水工建筑物：（1）扬州水利枢纽（包括导流涵闸）、（2）盐亭子闸、（3）黄金坝闸站、（4）瘦西湖引水总站、（5）平山堂泵站、（6）西闸站、（7）仪扬河闸、（8）润扬河闸、（9）管理区引水涵。闸站情况概览见表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 本项目九座闸站情况概览表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
        <w:gridCol w:w="891"/>
        <w:gridCol w:w="937"/>
        <w:gridCol w:w="945"/>
        <w:gridCol w:w="1040"/>
        <w:gridCol w:w="967"/>
        <w:gridCol w:w="1196"/>
        <w:gridCol w:w="9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所在水系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工程功能</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设计流量（m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工程规模</w:t>
            </w:r>
            <w:r/>
          </w:p>
        </w:tc>
      </w:tr>
      <w:tr>
        <w:trPr>
          <w:trHeight w:val="65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泵站</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古运河口门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扬州水利枢纽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古运河口门，东距距京杭大运河1.3公里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防洪为主，兼有城乡供水抗旱、城市活水和排涝、通航等功能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排72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大（2）型泵站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中型水闸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盐亭子闸</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蜀冈-瘦西湖片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邗沟河与古运河交汇处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引水、排涝、通航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引18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中型泵站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小（1）型水闸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瘦西湖引水总站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东临京杭大运河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平山堂泵站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沿山河东端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沿山河西闸站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沿山河与乌塔沟交汇处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润扬河仪扬河片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仪扬河闸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乌塔沟与仪扬河交汇处东侧1.2KM处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挡洪、行洪、引水、通航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节制闸行洪120、引水40、箱涵行洪61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长江主江堤与润扬河交界处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排洪、引水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排涝260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管理区引水涵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管护运行方式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中标人负责按水利工程管理规范的要求，做好本包内的工程运行管护，完成招标文件要求的其他事项。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运行管理及维修养护范围及要求：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2.1委托管理的范围：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水利部标准化和省厅精细化的相关标准，做好9座水利工程的高标准运行管护、工程检查、闸塘内保洁，运行期间格栅除污机打捞杂物的清运。范围包括但不限于平山堂泵站进水口漂浮物清运、盐亭子闸～导流箱涵进口间的水面保洁）、消防设施维护（含灭火器充气、更换、定期检测等，包括管理所办公区域）、标志标牌更新等工作；在闸区管理范围内配置足够的溺水救生设备，并及时更新维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2.协助采购人做好仓库标准化建设和信息化巡查工作，对全处其他水利工程的高标准运行做好技术支撑工作。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3.养护维修：城市河道处9座闸站中所有水工建（构）筑物、机电设备、金属结构等的日常养护和突发性设备故障诊断和应急处置工作。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4.工程观测：根据《江苏省水利工程观测规程》（DB32/T 1713-2011）要求，做好23座闸站的工程观测工作（包括闸站上下游水准尺校核，一年两次），并将观测结果及时录入我处智慧水利系统；安排技术人员对我处职工做好工程观测相关理论和实践培训，指导我处工程观测专班全程参与现场观测及资料整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5.专项工作：做好扬州市城市河道管理处23座闸站的水下检查（含突击抢修涉及的水下摸排服务）、全处范围内的防雷检测及电气试验、安全用具检测。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6.突击抢修：根据扬州市应急抢险突击队伍安排，配合做好闸站的突击抢修，其中河道处所辖23座闸站抢修费用（含配件、材料、人工）由管护单位承担，扬州城区内其余闸站费用由相关单位或属地承担。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7.做好闸站机电设备及配电房的卫生保洁工作，并听从各管理所负责人安排，遇重大接待、重要检查等活动时，协助进行保洁工作。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白蚁防治（1.对润扬河闸启闭机用房、仪扬河闸启闭机用房、安墩闸站管理用房、黄金坝闸站管理用房及扬州市城市河道管理处食堂每年进行18次白蚁普查及1次全方位喷洒；2.黄金坝闸站、扬州闸泵站、处机关、通江门、迎恩茶坊及漕河沿线木结构廊亭，每年进行18次白蚁普查及2次全方位喷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9.人员培训：包括但不限于按我处要求或根据运行管理要求安排指定人员参加相关培训，对我处指定人员进行“一对一”师徒结对技术指导，制定培训计划。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10.配合采购人完成运行管理类科技创新或专利2项及以上，含“五小”创新、论文（核心期刊），知识产权属采购人。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2.2运行人员配置要求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中标人应根据工程管理的实际需要及采购人的有关要求，合理配置有丰富实践经验的项目负责人、技术负责人、安全负责人、运行人员等。要求如下</w:t>
      </w:r>
      <w:r>
        <w:rPr>
          <w:rFonts w:ascii="SimSun" w:hAnsi="SimSun" w:eastAsia="SimSun" w:cs="SimSun"/>
          <w:b/>
          <w:color w:val="000000"/>
          <w:sz w:val="21"/>
        </w:rPr>
        <w:t xml:space="preserve">（人员数量不低于清单中所标注的数量）</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（a）项目负责人：担任过大中型水利工程运行管理项目负责人，具有一定的管理经验，对本项目管理负全面的领导责任。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（b）技术负责人：担任过大中型水利工程运行管理技术负责人或项目负责人，协助项目负责人负责全面的技术管理工作。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（c）安全负责人：协助项目负责人负责全面的安全管理工作。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（d）资料员：协助技术负责人开展资料管理工作。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（e）运行人员：</w:t>
      </w:r>
      <w:r>
        <w:rPr>
          <w:rFonts w:ascii="SimSun" w:hAnsi="SimSun" w:eastAsia="SimSun" w:cs="SimSun"/>
          <w:color w:val="000000"/>
          <w:sz w:val="21"/>
          <w:highlight w:val="yellow"/>
        </w:rPr>
        <w:t xml:space="preserve">主要工种包括起重工、电工等</w:t>
      </w:r>
      <w:r>
        <w:rPr>
          <w:rFonts w:ascii="SimSun" w:hAnsi="SimSun" w:eastAsia="SimSun" w:cs="SimSun"/>
          <w:color w:val="000000"/>
          <w:sz w:val="21"/>
        </w:rPr>
        <w:t xml:space="preserve">，具有相应技术执业资格，持证上岗，对工程运行中出现的问题有一定的应急处理能力，在项目负责人的安排下做好相关工作，其中运行人员需持有正规技能培训鉴定站的考核合格证书，特种作业人员（如电工、起重工、高空作业工等）应持有省应急管理厅签发的特种作业操作证，运行班人数每班不低于2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（f）后方技术支撑：除配备项目负责人、技术负责人、安全负责人、运行人员外还需提供运行管理机构、电气试验、水下检查、维修养护等的技术支撑。</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2.3委托管理内容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2.3.1组织管理方面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（1）管理体系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项目实际情况及采购人的具体要求，组织配备相应的项目负责人1名，技术负责人1名，安全负责人1名，资料员1名，明确各管理人员负责管护区域，闸站运行人员24名，明确运行班长，满足本工程的安全运行管理需要；除按社保要求缴纳相关社会保障资金外，所有人员必须购买雇主责任险、意外伤害险，切实保障劳动者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所有人员均作为河道处应急抢险人员，发生应急情况和养护项目专业技术有特殊要求情况，中标人应及时响应采购人要求。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古运河管理所：扬州水利枢纽（含导流涵闸）、盐亭子闸6个运行人员（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4人，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2人，其中持证电工不少于2人次，信息化专业人员不少于1人次）。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沿山河管理所：平山堂泵站4个运行人员（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4人，其中持证电工不少于1人次，信息化专业人员不少于1人次），西闸站2个运行人员（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1人，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1人，其中持证电工不少于1人次）；共6人。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润扬河管理所：润扬河闸3个运行人员、仪扬河闸2个运行人员（</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5人，其中持证电工不少于1人次，信息化专业人员不少于1人次）；共5人。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黄金坝管理所：黄金坝闸站4个运行人员（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2人，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2人，其中持证电工不少于1人次，信息化专业人员不少于1人次）；引水总站3个运行人员（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3人，其中持证电工不少于1人次）；共7人。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总计28人（4个管理人员，24个运行人员），各管理所人员不得混用。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（2）教育培训方案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中标人定期组织工程运行管理人员的职业道德、技术业务等教育培训工作，每季度不少于1次，明确培训频次、主题、参与人员；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（3）建立各项管理规章制度，包括但不限于《管理人员岗位责任制》、《工程运行管理制度》、《职工教育和培训制度》。</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 教育培训方案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需定期组织工程运行管理人员的职业道德、技术业务等教育培训工作，每季度不少于1次，明确培训频次、主题、参与人员；中标人需对照委托管理内容，配合我处人才培养方向，为我处提供技术指导，为我处职工制定“一对一”培训计划，包括操作技能、理论知识、现场实践等方面，在教育培训方案中提供“传帮带”指导人员名单和培训计划，每月不少于1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 安全管理方面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贯彻执行《中华人民共和国水法》、《中华人民共和国防洪法》、《中华人民共和国安全生产法》、《江苏省水利工程管理条例》、《江苏省河道管理实施办法》、《江苏省安全生产条例》、《扬州市河道管理条例》等有关法律、法规及上级主管部门的指示，做好依法管理，维护权益，保障工程安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(2)防汛应急预案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落实防汛抢险组织和岗位责任制，制订防汛应急预案，建立防汛防旱领导小组，明确成员主要职责，建立预防和预警机制，明确防汛防旱保障措施，确保汛期各项措施全部到位。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（3）建立各项安全管理规章制度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建立工程运行、设备维修养护、防火、安全用电和安全保卫等方面的安全管理制度，措施可行，符合工程实际情况。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(4)按规定做好设备设施的防盗防损措施，加强对计算机的安全使用管理。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(5)按规定建立安全防火、安全保卫、安全教育与考核、事故处理、事故调查与报告制度。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(6)按规定建立安全组织网络。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(7)定期组织管护服务人员进行安全知识的培训，定期组织安全教育活动，特种作业人员应专门培训。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(8)严格执行动火、带电作业工作票制度。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(9)安全器械、用具应专人管理、按点放置、定期保养。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10)事故发生后，应立即采取措施限制事故的扩大，并按规定及时上报。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(11)发生事故后，中标人应积极配合事故调查和事故处理工作。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2.3.4运行管理方面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总体要求：中标人须按照水闸、泵站相关管理技术规程。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2.3.4.1掌握水情、雨情、工情，做好防汛抗旱、改善水环境和其它服务工作；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2.3.4.2控制运用调度方案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明确各闸站运用调度指令下发人、执行人、记录人，规定操作步骤，根据工程控制运用原则和采购人的指令做好泵站、水闸的控制运用调度工作，并保证工程的正常运行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2.3.4.3电气试验方案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需对23座闸站和办公楼配电房开展预防性电气试验，明确试验人员资质、调试设备配备情况、具体试验流程及安全措施。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2.3.4.4技术管理要求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应按照《江苏省水利工程精细化管理评价办法》《江苏省泵站技术管理办法》、《江苏省水闸技术管理办法》及电力等其它行业有关的部、省规范和标准，结合工程具体情况，制订或完善各个工程具体的技术管理细则和作业指导手册，细则和手册需报采购人或上级主管部门批准后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(2)中标人应根据该工程运行要求、涉及相应片区的水量分配要求及控制运行原则等，协助采购人制定该工程的控制运用方案和调度制度。方案及制度需报采购人或上级主管部门批准后执行。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应根据相关行业规范和标准以及自身拥有的管理经验，结合工程的情况和要求，建立健全并不断完善各项管理制度，主要包括：控制运用、调度管理、运行操作、值班管理、检查监测、维修养护、设施设备管理、安全生产、保护管理、环境管理、档案管理、教育培训、岗位管理、考核管理、资金管理等；内容完整，要求明确，按规定明示关键制度和规程。主要包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①管理人员岗位责任制；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②请示报告和工作总结制度；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③非汛期调水与汛期调水工作制度；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④工程运行管理制度（项目负责人部制度、运行值班与交接班制度等）；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⑤工程检查（工程经常、定期、特别检查制度）；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⑥设备管理与检修制度（设备缺陷管理制度、设备维护保养制度、设备维护保养验收制度、微机管理制度等）；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⑦运行规程（操作票、工作票、口头命令制度；强电设备巡视要求；主要设备运行操作规程等）；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⑧设备养护检修规程和验收标准（主泵机组、闸门、启闭机、高低压电气设备、变压器、自动监控系统、砼建筑物等）；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⑨安全管理制度（包括安全网络工作制度、电气设备维修保养安全制度、液压站管理制度、事故处理制度、消防器具管理制度）；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⑩有关设备试验规程（机电保护校验工作条例、仪表校验工作条例、试验质量监督制度、电气设备维修验收标准）；资料归档与管理制度；职工教育与培训制度；危险品管理制度；环境保护制度。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贯彻执行《中华人民共和国水法》、《中华人民共和国防洪法》、水利部《水闸技术管理规程》、《江苏省水利工程理条例》、《江苏省河道管理实施办法》、《江苏省水闸技术管理办法》等有关法律、法规及上级主管部门的指示，做好依法管理，维护工程权益，保障工程安全，负责组织本工程运行管理人员的职业道德、技术业务等教育培训和考核考评工作，闸站工程运行操作人员必须持证上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应根据相关行业规范和标准以及自身拥有的管理经验，结合本工程的情况和要求，整理以下各项图表（不限于以下所列），主要包括：泵站、水闸工程平、立面图，电气主接线图，启闭机控制图，设备揭示图，操作规程等，提供给采购人上墙明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(6)中标人须加强对委托管理范围内工程设施、设备等的检查养护工作，实行定期检查制度，并及时将检查情况向采购人汇报。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(7)中标人应组织技术管理人员认真学习工程的管理细则和有关技术标准，熟悉工程规划、设计、施工等情况，熟悉工程各部位结构，掌握控制运用、检查、养护修理等管理业务，做好所管工程的技术管理工作。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(8)中标人应建立《工程大事记》，对管理中发生的重大技术问题，应详细记录并归入技术档案。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(9)根据泵站、水闸等规范以及本工程设施、设备的实际情况和采购人的有关要求，编制工程设施、设备检查、维护保养、安检以及日常管理的工作计划，并向采购人及时上报合同外的备品备件采购计划。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2.3.3.5设备养护要求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(1)水泵：定期检查、清洁、除锈、油漆、渗漏水处理、渗漏油处理、局部焊接、补加润滑油、更换、补充填料等。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(2)电动机：定期检查、清洁、除锈、油漆、渗漏水处理、渗漏油处理、局部焊接、绝缘检测与干燥、补充过滤润滑油、试验配合等。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(3)开关柜、箱：定期检查调试、清洁、除锈、油漆，开关、指示灯、熔丝、接触器、限位开关等易损件处理与更换，绝缘检测与处理、接线松动处理、试验配合等。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(4)直流系统：直流系统定期检查，清洁、除锈、油漆，各类仪表定期效验、易损件更换、接线松动处理、绝缘检查与处理、蓄电池充放电等。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(5)变压器：定期检查,外壳清洁、除锈、油漆、焊补,试验配合。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(6)母线、电缆：定期检查,清洁、除锈、油漆,试验配合等。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(7)隔离刀闸：隔离刀闸定期检查，清洁、除锈、油漆，易损件更换、接线松动处理、绝缘检查与处理、试验配合等。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(8)水系统：定期检查,少量部件维修,清洁、除锈、油漆、局部焊补、调整,漏油处理,更换、补充润滑油,更换、补充填料，压力表计校验、配合、试运转等。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(9)拍门：定期检查清洗、局部修补、除锈、油漆、止水密封更换、缓冲装置调整等。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(10)清污机：定期检查清理,少量部件焊补,各部位清洁、除锈、油漆、转动部件加油、试运转等。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(11)拦污栅：定期检查清理,少量部件焊补,各部位清洁、除锈、油漆、转动部件加油、试运转等。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(12)起重设备：定期检查，少量部件维修，钢丝绳清洗、除锈、抹黄油并用胶皮捆扎保护等。电动机清洁、除锈、绝缘检测与处理、更换、补充润滑油，控制、动力线路维护、老化处理、检测配合、试运转等。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(13)闸门：定期清洗、局部修补与油漆、滚轮加油、吊具吊座和止水调整紧固等。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(14)启闭机：转动系统、机架、罩壳电动机等部位清洁、除锈、局部油漆，运转部位漏油处理、加油润滑,制动系统退程及间隔调整，电动机绝缘检测，机架固定螺栓紧固等。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(15)启闭机启闭系统：油泵、电动机、油缸、油箱、管道、闸阀、机架 、锁定装置等部位清洁、除锈、局部油漆、漏油处理、过滤补油等。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设备表面防腐养护：各类设备表面局部人工除锈、刷防锈漆，重新刷面漆一度。设备表面防腐（室内）所有闸站室内主水泵和主电机面积和所有闸站室内机电设备急需处理的面积；设备表面（室外）所有闸站闸门面积、各闸站拍门面积、清污机面积及各闸站室外急需处理的辅助金属设备面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(17)柴油发电机组养护：机组清洁除尘、漏油处理、设备保养、机架除锈油漆、零配件更换、定期试运行等。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(18)拦河设施养护：拦船浮桶除锈、钢丝绳紧固等。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(19)电力变压器系统调试：变压器、断路器、互感器、隔离开关机常规保护、测量、控制等一、二次回路调试，测温、冷却系统调试，整组传动调试及空投试验。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(20)送变配电装置设备系统调试：自动开关或断路器、隔离开关、互感器、常规保护装置、电气控制、测量仪表、电力电缆等一、二次回路系统调试及整组联动试验。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(21)蓄电池及直流盘监视: 装置本体及二次回路的调整试验。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(22)母线系统调试：母线耐压试验、接触电阻测量、母线绝缘监视装置、避雷器、电容器调试、绝缘电阻、耐压试验及一、二次回路的调试。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(23)上述所列设备养护要求仅供参考，各闸站中所有未列设备均包含在养护范围内，具体执行时按相关规范要求执行。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2.3.3.6管护要求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(1)管护应严格操作票、工作票、巡视检查制度，做好管护服务记录，健全各类台帐记录。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(2)管护服务的人员素质及数量应符合采购人的要求。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(3)中标人应建立《工程大事记》，对管护服务中发生的重大技术问题，应详细记录并归入。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(4)中标人需将各类“操作规程”、“安全规程”和工程的主要技术指标等相关图表在适当位置张贴上墙。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(5)中标人应组织技术管理人员认真学习本工程的管理细则和有关技术标准，熟悉工程规划、设计、施工等情况，熟悉工程各部位结构，掌握控制运用、检查观测、养护修理等管理业务，做好所管的技术管理工作。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(6)中标人应无条件服从采购人的指挥。进入汛期必须建立健全防汛应急预案，保证24小时有人值班，确保通讯畅通。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人应加强对工程设施设备的汛前、汛期和汛后检查工作。在汛期，如发现防汛工程设施出现险情或设备异常无法安全运行时，应立即采取相应处理措施，控制险情或故障的扩大和蔓延，及时向采购人报告，并组织力量做好工程设施设备的恢复正常运行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汛前、汛后中标人必须完成机电设备的全面保养工作，以确保工程的设备设施处于随时投入运用的良好状态。并自觉接受采购人及上级水行政主管部门组织的汛前、汛后检查等，做好汛前、汛后检查的台账整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(9)日常养维修护工作要按照一定的频次及标准执行，确保维修养护工作质量。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(10)运行期和非运行期、汛期和非汛期，管理人须按不同的要求做好水情测报工作。应建立汛期、运行期水情、工情报告制度，确保水情、工情及时上报，为市防指科学调度提供基础数据。</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《闸站工程运行管理基本要求》(不限于以下要求)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1.1严格遵守水利工程的各类管理规范水闸设备管理规程及其他相关规定中设备管理的周期、质量要求。中标人应按规定定期对工程设备进行评级。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1.2负责扬州市城市河道管理处下辖9座闸站工程的日常检查、维护、保养和设备校验工作，确保设备完好。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1.3按照要求，对所管设备每年进行汛前、汛后、经常检查，确保设备处于完好状态。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1.4所有机电设备按规定编号、标色；开关、阀门等有开关方向标志的都必须标明。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1.5所有机电设备应建档挂卡，记录设备维修及现状情况，并明确责任人。建筑物、设备(包括水文测站基本设施及专用仪器)养护完好，设备表面无油污、积尘及破损现象。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按规定对电气设备(不包括避雷设施)、仪表、安全器具等进行各项试验、校验等。试(校)验记录齐全，手续齐备，资料及时整理、分析、存档。校验不合格的机具，中标人负责采购、更换。如有采购人提供的机具，由中标人负责提出技术要求，实施安装及日常管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2机电设备运行管理基本要求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(1)认真执行例保和润滑五定制度，要求机电设备机貌清洁，无渗油、无渗水、无积尘、无锈斑，状况良好，运行正常。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按照《江苏省水利工程精细化管理评价办法》、《江苏省泵站技术管理办法》、《江苏省水闸技术管理办法》中有关规定定期对本工程相关设备进行检修保养及试验校核等工作，发现故障及时排除并分析原因，确保设备的完好和运行安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(3)严格执行各类电气设备的运行、操作、检修规程，做好电气设备的预防性试验及安全用具的检测工作，杜绝人为重大设备事故的发生。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(4)至少二人以上具备高压操作证人员才能进入高低压室巡检，如需进行维修，按工作需要填写工作票，且检修时必须有专职的监护人专职监护。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(5)运行、检修等必须有台帐记录。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(6)编制主要设备维修计划上报采购人。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3建构筑物及相关设施运行管理基本要求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(1)做好管理范围内所有建（构）筑物的除尘、保洁等, 做到窗明几净，无积尘，无积水，围墙、道路、泵房、闸室及附属建筑墙屋面大面积剥落、裂缝、渗漏，道路坍塌，及时向采购人报告。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(2)对相关外露装置如保护接地装置注意做好保养工作；避雷装置和绝缘装置需要定期巡检和测试，并做好记录。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(3)保证管理区域内的照明器具工作正常，保持完好。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(4)设备、设施、管道、栏杆色标准确，油漆完好，无严重锈蚀。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(5)水位计完好有效，经常清洗水标尺。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(6)做好闸站环境卫生工作，做到场地整洁，物品堆放整齐到位。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(7)按规定定期对建筑物进行水下检查。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2.3.5巡查维修方面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2.3.5.1定期检查方案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明确工程定期检查的时间、频次、范围，提供记录及分析研究方案，随时掌握工程状态，发现异常情况时提出处理方案并向采购人汇报；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2.3.5.2维修养护方案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明确工程维修养护的频次、日常养护的内容、确保工程安全完整的相关措施、巡查工程的频次和相关技术人员；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2.3.5.3信息化巡查方案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需加强对运行人员信息化系统的培训，配合采购人做好9座闸站的信息化系统及设备的操作运行、日常巡检，发现问题及时向采购人反馈，明确巡查频次、巡查要求及流程。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2.3.5.4泵站机泵主要设备管理、养护要求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(1)清洁：每天对主机泵进行清理，机泵外壳保持无尘、无污、无锈，表面清洁。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(2)润滑：检查电机温度是否正常，无渗漏现象。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(3)检查水泵外盖无渗水现象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(4)运行巡视检查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①运行监视数据准确可靠，运行记录完好。机组无报警。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1"/>
        </w:rPr>
        <w:t xml:space="preserve">机泵运行后，应无异声和异味，电动机电压、电流在额定值内，温升和轴承的最高温度应符合规范要求，测温和综合检测系统准确可靠。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2.3.5.5高低压电气设备养护要求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（1）严格遵守有关高低压电气设备运行、操作和检修规程中的有关规定，做好电气设备的维修和试验以及电气测量仪表校验工作。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（2）电动机、变压器、压互感器、电流互感器、隔离开关、真空开关等电气设备及其开关柜外观清洁、无异常现象；各种开关、继电保护装置，触点良好，接头牢固；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（3）蓄电池按规定进行充放电试验，电压、容量正常，极板无变形；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（4）各种电力线路均应防止漏电、短路、断路、虚连等现象，定期测量导线绝缘电阻值；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（5）指示仪表、接地系统及避雷器等均应按供电部门有关规定定期检验；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（6）配电房、配电柜、自备电源的柴（汽）油发电机按有关规定定期维护、检修；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（7）落实日常巡视检查检修的组织和技术措施。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2.3.5.6闸门门叶养护要求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(1)闸门门体无影响安全的变形、锈蚀，无焊缝开裂、螺栓及铆钉松动；支承行走机构运转灵活；止水装置完好，门槽、门坎无损坏。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(2)闸门表面外观整洁，附着的水生物、泥砂、污垢、杂物等应定期清除，闸门的联接紧固件应保持牢固。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(3)运转部位的加油设施应保持完好、畅通，并定期加油，确保运转部位润滑可靠。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(4)钢闸门防腐蚀应符合SL105-95《水工金属结构防腐蚀规范》的规定，可采用涂装涂料和喷涂金属等措施进行维护修补，采购人提供防腐材料。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(5)钢闸门使用过程中，对表面涂膜(包括金属涂层表面封闭涂层)定期检查，发现水上部分剥落、鼓泡、龟裂、明显粉化等老化现象时，应重作防腐涂层。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(6)闸门止水装置密封可靠，闭门状态时无翻滚、冒流现象；止水橡皮出现严重的磨损、变形、自然老化现象或漏水量超过规定值的应更换；止水压板严重锈蚀时应更换；压板螺栓、螺母不齐全时应补全。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2.3.5.7拦污栅、清污机管理要求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(1)清洁：机架、电机外表、电气控制箱每周一次。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(2)润滑</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7"/>
        <w:gridCol w:w="2466"/>
        <w:gridCol w:w="2641"/>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润滑部位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润滑剂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周期</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轴承座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钙基润滑油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次/一季度</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滑转动部位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钙基润滑油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次/30日</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做好润滑记录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1"/>
        </w:rPr>
        <w:t xml:space="preserve">拦污栅定期起吊清理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1"/>
        </w:rPr>
        <w:t xml:space="preserve">每半年应检查一次所有紧固件是否松动，如有松动应及时拧紧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(4)定期维护保养：定期检查钢丝绳松紧度、滚子的润滑程度和钢丝断丝情况等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2.3.5.8控制系统管理要求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(1)投入运行的设备均应有专职维护人员，建立完善的岗位责任制。建立完善的交接班制度。在处理事故、进行重要的测试或操作时，不得进行交接班。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(2)定期对该设备进行巡视，检查测试和记录，发现情况及时处理，应建立分管设备的帐、卡。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(3)建立运行日志，每月作运行统计和分析。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(4)运行发生故障后，应认真检查控制系统对故障的反应是否正确，详细记录并作出结论。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(5)未经调度自动化专业人员同意，不得在远动设备及可能影响其运行的二次回路上工作和操作。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(6)历史数据应定期备份并存档。修改前后的软件必须进行备份，并作好修改记录。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2.3.5.9设备涂色要求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设备涂色分为设备类涂色标准和设施类涂色标准，其中安全色参照国家标准GB2893，部分参照GB/3181中相关的设备颜色标准。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2.3.5.10其他管理要求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(1)按规定做好设备设施的防盗防损措施，加强对计算机的安全使用管理。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(2)按规定建立安全防火、安全保卫、安全教育与考核、事故处理、事故调查与报告制度。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(3)按规定建立安全组织网络。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(4)定期组织管护服务人员进行安全知识的培训，定期组织安全教育活动，特种作业人员应专门培训。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(5)严格执行动火、带电作业工作票制度。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(6)安全器械、用具应专人管理、按点放置、定期保养。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(7)事故发生后，应立即采取措施限制事故的扩大，并按规定及时上报。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(8)发生事故后，中标人应积极配合事故调查和事故处理工作。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2.3.5.11.维修养护计划要求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2.3.5.11.1汛前（1-4月）工作计划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2.3.5.11.1.1天气寒冷要做好保暖防冻工作。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2.3.5.11.1.2春节来临前要加强安全教育工作，合理安排节日值班和防盗工作。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2.3.5.11.1.3加强管护服务及考核检查力度，防止脱岗等现象发生。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2.3.5.11.1.4本季天气干旱时，做好消防工作，检查消防器材应完好。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2.3.5.11.1.5三月底前，必须全面完成汛前设备设施的检修维护保养工作，准备接受采购人以及上级主管部门组织的汛前检查。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2.3.5.11.1.6设备维护保养必须严格实行有关条例，做好设备清洁、润滑、紧固、油漆等工作，检查厂房建筑物等有无漏雨、积水等现象，若有及时处理。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2.3.5.11.1.7所有设备保养均应在断电条件下进行，做好二级隔离，应有完备的手续（包括停电申请）。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2.3.5.11.1.8设备保养后应有记录，并有保养人和验收人的签字，资料应齐全、完整。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2.3.5.11.1.9加强对职工的技术培训，提高业务技能。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2.3.5.11.2汛期（5-9月）工作计划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2.3.5.11.2.1由于进入梅雨季节，闸站应做好自身电器设备的绝缘工作，以及要做好防触电事故工作。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2.3.5.11.2.2设备发生小故障应及时处理；当发生大的故障时，及时上报采购人，并立即分析原因，制定抢修方案及处理意见。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2.3.5.11.2.3高温季节要加强对变配电间的巡视，确保变配电间通风良好，防止高温造成设备故障。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2.3.5.11.2.4做好设备例保工作。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2.3.5.11.3汛后（10-12月）工作计划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2.3.5.11.3.1对所有设备进行维护、保养工作。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2.3.5.11.3.2对电器设备、电气安全用具进行预防性试验。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2.3.5.11.3.3对河道、设备、设施、水下部分进行检查。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2.3.5.11.3.4做好工程运用资料的汇编工作。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2.3.5.11.3.5做好年终各项总结工作及来年的工作安排。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2.3.5.11.3.6做好有关准备工作，接受采购人组织的年度工程管理目标考核。</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2.3.6台账建设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需对照江苏省精细化的要求，做好台账资料的汇编整理，制定台账整编及存储方案，明确各项所需填写台账名录、填写频次和填写要求。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2.3.6.1技术资料存档要求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(1)凡工程建设的各种资料，设备运行、维护、保养资料都应及时整理成册，交付采购人存档。有必要保存的原始数据记录整理后装订成册，交付采购人存档。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2.3.6.2技术档案管理要求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(1)技术资料应分类、装订成册，按规定编号，存放在专用的资料柜橱内；资料柜橱应置于通风干燥处，防潮、防腐蚀、防霉、防有害生物和防污染，同时应有防火、防盗等设施。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(2)工程基本资料永久保存，规程规范可保存现行的，其它资料应长期保存。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(3)已过保管期的资料档案，必须经过采购人或其上级主管部门鉴定，确认可销毁的造册签字，指定专人销毁。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(4)技术档案应专人管理，人员变动时应按目录移交资料，并在清单上签字，同时得到单位领导认可，不得随意带走或散失。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（5）中标人必须自觉接受采购人及上级主管部门对档案管理工作的检查指导。服务期结束后，必须将全部资料移交采购人。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2.3.7项目总体要求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2.3.7.1在接到中标通知书至采购人正式委托管理前,中标人必须完成以下工作(但不限于以下工作)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2.3.7.1.1完成机构设置、岗位设置和人员配置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2.3.7.1.2完成管理人员上岗培训工作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2.3.7.1.3完成招标采购文件中要求，以及配合采购人完成有关制度、规程、技术管理细则、工程运行方案和调度原则等的修订完善等工作。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2.3.7.2本项目确定中标人后，由采购人和中标人签订管理合同，中标人未经采购人同意不得分包、转包，一经发现，采购人有权禁止合同，由此给采购人造成的一切经济损失均由中标人承担。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2.3.7.3在签订委托维修养护合同的同时，中标人应与采购人签订廉政和安全生产责任协议。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2.3.7.4中标人在投标文件中承诺并经采购人认可的项目负责人、技术负责人，未经采购人同意，中标人不得擅自调换和撤离。对中标人中不称职的工作人员，采购人有权要求中标人对其进行处理和撤换，中标人必须无条件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2.3.7.5中标人应遵守招标文件和项目合同中的有关规定和承诺，自觉接受采购人的检查、监督、管理工作，履行应尽职责。发现中标人有不符合有关规定或未全面响应有关招标文件以及相关合同内容的，由采购人发出整改通知，中标人应无条件接受，并做到及时整改。若发现管理工作不能满足采购人的管理要求和标准的，采购人可依据招标文件及合同中规定的考核办法对中标人进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中标人应对其员工加强安全教育，并对员工的人身安全负全部责任。如因中标人原因如违反操作规程、不负责任、现场人员处理不及时等造成工程设备设施损坏缺失以及人员伤害，则由中标人承担由此引起的一切责任和经济损失。在采购人和中标人对事故责任无法统一的时候，则有上一级水行政主管部门组织有关专家对事故性质进行鉴定，以明确事故责任。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2.3.7.7当发生一般故障时，中标人必须组织力量及时修复，如发生事故时，应及时向采购人反映，并制定相应处理措施，争取在最短时间内恢复工程正常运行。如发生不配合采购人工作，故意拖延故障（事故）修复时间，因此造成影响和损失的，全部由中标人负责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2.3.7.8文明及环境管理方面，做好工程管理范围内设施设备及配电房的环境卫生，闸塘内保洁，运行期间格栅除污机打捞杂物的清运，设施设备无油渍灰尘，水尺及时擦拭，提供</w:t>
      </w:r>
      <w:r>
        <w:rPr>
          <w:rFonts w:ascii="SimSun" w:hAnsi="SimSun" w:eastAsia="SimSun" w:cs="SimSun"/>
          <w:b/>
          <w:color w:val="000000"/>
          <w:sz w:val="21"/>
        </w:rPr>
        <w:t xml:space="preserve">卫生保洁方案</w:t>
      </w:r>
      <w:r>
        <w:rPr>
          <w:rFonts w:ascii="SimSun" w:hAnsi="SimSun" w:eastAsia="SimSun" w:cs="SimSun"/>
          <w:color w:val="000000"/>
          <w:sz w:val="21"/>
        </w:rPr>
        <w:t xml:space="preserve">，明确保洁频次、保洁范围和保洁要求。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2.3.7.9管理人应向采购人提供的信息和文件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2.3.7.9.1定期上报的信息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2.3.7.9.1.1 管理月报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每月28日前，向采购人提交当月《工作月报》，主要内容：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⑴当月运行情况及运行资料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⑵维修养护情况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⑶存在的问题及需要提请采购人注意的事项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⑷大事记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⑸下月工作计划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⑹其他有关事项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2.3.7.9.1.2 汛前、汛后工程检查报告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每年的3月28日、10月28日前，完成并向采购人提交所管工程定期检查报告。检查报告主要内容：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（1）工程概要（含设计指标、设计效益）。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（2）工程运用概要（含工程运用原则、运用情况等）。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（3）检查情况综述。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（4）检查发现的主要问题及处理意见。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（5）度汛措施（防汛抢险组织落实情况、度汛物资准备情况、防汛岁修工程完成情况）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2.3.7.9.1.3年度管理工作总结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每年的12月15日前完成并提交发包人。内容包括：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 工程运行管理情况综述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 履行合同情况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(3)工程运行管理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 工程存在问题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 建议和意见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2.3.7.9.1.4不定期的管理工作报告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1.关于降低运行费用、提高工程效益的建议。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2.关于工程运行管理工作的总结。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3.工程维修、设备大修总结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2.3.7.9.1.5日常管理文件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1.工程管理日记及工程大事记。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2.运行管理协调会议纪要文件。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3.采购人通知、指令等。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4.运行管理记录、设备操作记录。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5.日常巡视检查记录。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6.其他管理业务往来文件。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7.管理人的请示、报告。</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21"/>
        </w:rPr>
        <w:t xml:space="preserve">.3.7《扬州市城市河道管理处闸站工程管理考核办法》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了有效推进工程标准化、精细化管理，强化工程管理的过程控制，规范管理行为准则，执行管理规章制度，创新岗位管理和绩效考核机制，逐步建立先进科学、规范精细的工程管理模式，促进采购人工程管理工作不断迈上新台阶，为实现扬州市城市河道管理处（以下简称管理处）现代化建设目标奠定坚实基础，特制定本管理考核办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（2）管理考核按照精细化管理要求进行调整，实行百分制。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2.考核组织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确保考核工作全面、有序推进，日常考核由各片区管理所负责，季度考核由处考核小组负责，管护资金支付以各管理所的月考核结果为依据，资金分片区管理所按月计算应付金额，机电设备科按季度统计支付；季度考核结果具有一票否决权，若季度考核出现低于80分情况，则该季度管护项目资金支付金额以季度考核结果为准核减后，再对照月度考核结果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机电设备科负责组织、协调季度考核工作的开展、考核办法的制定、考核结果的汇总统计、负责最终考核结果的审定，财务科根据考核结果负责管护资金的支付等。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3.考核原则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（一）遵照行业规范；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（二）注重日常实绩；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（三）客观、公平、公正。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4.考核依据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（一）水利法律、法规及标准；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（二）委托管理合同、中标人的招投标文件；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（三）委托管理单位的安全协议、服务承诺和签订的其他相关协议；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（四）日常管理的实际效果；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（五）在突发故障及应急抢修等过程中的处置情况。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（六）在重大保障活动中及灾害性天气等过程中的执行力情况。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5.考核内容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根据项目的工作特点和任务重点，考核内容原则上对关键指标、安全工作、运行保障、服务质量、基础管理等方面进行细化考核（考核表详见附件）。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6.考核形式及流程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（一）考核采取日常考核和季度考核相结合的方式。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（二）日常考核由各管理所负责，主要考核委托管理单位的日常工作情况和运管人员能力水平，考核结果作为月度管护资金测算的依据。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（三）季度考核由处考核小组负责。考核小组通过查看委托管理单位工作台账、项目现场及委托管理单位自检报告，结合季度实际工作情况，按照考核表进行赋分，最终确定委托管理项目的季度考核结果。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7.考核结果及奖惩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（1）受到局机关及以上点名批评的，当月考核不合格，扣除当月管护运行费的5%。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（2）经媒体曝光查实的，当月考核不合格，扣除当月管护运行费的10%。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（3）因中标人责任，造成负面舆情影响的，当月考核不合格，扣除当月管护运行费的10%。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（4）一旦发现中标人人员违章操作，未造成不良后果的，扣除该季度考核分10分；造成不良后果的，当月考核不合格，扣除当月管护运行费的5%。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（5）采购人指出的管护问题，中标人未在规定时限内完成整改的，扣除当月考核得分10分，同一问题连续两次未完成整改的，当月考核不合格，扣除当月管护运行费的5%。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（6）在重大活动和突发事件时，中标人应遵从采购人指令，如未配合或配合不当，造成严重后果，当月考核不合格，扣除当月管护运行费的5%。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月度考核在80（含）分以上，当月管护费用全额支付；月度考核在70（含）-80（不含）分的，扣除当月管护运行费的5%后支付；月度考核在65（含）-70（不含）分的，扣除当月管护运行费的10%后支付；月度考核在65（不含）分以下的，当月管护费用不进行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季度考核具有一票否决权，委托管理单位季度考核在80分以上（含80）的，按各片区管理所各月得分情况，对照合同金额支付当季管护费用；季度考核在70（含）-80（不含）分的，先扣除当季度整体管护运行费的5%后，再按各片区管理所各月得分情况支付管护费用；季度考核在65（含）-70（不含）分的，先扣除当季度整体管护运行费的10%后，再按各片区管理所各月得分情况支付管护费用；季度考核在65（不含）分以下的，当季管护费用不进行支付。</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8.合同违约责任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（1）累计3个月出现管理所月考不合格情况。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（2）发生一般及以上安全责任事故，且事故主体责任为运行人员管护不到位。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（3）发生重大舆情事故或造成不良社会影响。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（4）未完成年度合同约定任务。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（5）被市级媒体或局机关及以上的上级部门通报批评两次及以上。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发生上述任何一种情形，采购人有权单方面解除与之签订的管护合同，造成社会影响的，并追究违约责任。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本考核办法由扬州市城市河道管理处负责解释。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60" w:firstLine="0"/>
        <w:jc w:val="center"/>
        <w:spacing w:before="0" w:after="0"/>
        <w:tabs>
          <w:tab w:val="left" w:pos="73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4"/>
        </w:rPr>
        <w:t xml:space="preserve">扬州市城市河道管理处闸站管护项目考核表( </w:t>
      </w:r>
      <w:r>
        <w:rPr>
          <w:rFonts w:ascii="SimSun" w:hAnsi="SimSun" w:eastAsia="SimSun" w:cs="SimSun"/>
          <w:b/>
          <w:color w:val="000000"/>
          <w:sz w:val="24"/>
          <w:u w:val="single"/>
        </w:rPr>
        <w:t xml:space="preserve">         </w:t>
      </w:r>
      <w:r>
        <w:rPr>
          <w:rFonts w:ascii="SimSun" w:hAnsi="SimSun" w:eastAsia="SimSun" w:cs="SimSun"/>
          <w:b/>
          <w:color w:val="000000"/>
          <w:sz w:val="24"/>
        </w:rPr>
        <w:t xml:space="preserve">管理所)</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76"/>
        <w:gridCol w:w="376"/>
        <w:gridCol w:w="1198"/>
        <w:gridCol w:w="4252"/>
        <w:gridCol w:w="1134"/>
        <w:gridCol w:w="709"/>
        <w:gridCol w:w="641"/>
        <w:gridCol w:w="885"/>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9" w:type="dxa"/>
            <w:vAlign w:val="center"/>
            <w:textDirection w:val="lrTb"/>
            <w:noWrap w:val="false"/>
          </w:tcPr>
          <w:p>
            <w:pPr>
              <w:ind w:left="0" w:right="480" w:firstLine="0"/>
              <w:jc w:val="both"/>
              <w:spacing w:before="0" w:after="0" w:line="460" w:lineRule="atLeast"/>
              <w:tabs>
                <w:tab w:val="left" w:pos="7131" w:leader="none"/>
                <w:tab w:val="left" w:pos="139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考核类型：</w:t>
            </w:r>
            <w:r>
              <w:rPr>
                <w:rFonts w:ascii="SimSun" w:hAnsi="SimSun" w:eastAsia="SimSun" w:cs="SimSun"/>
                <w:b/>
                <w:color w:val="000000"/>
                <w:sz w:val="24"/>
                <w:u w:val="single"/>
              </w:rPr>
              <w:t xml:space="preserve">    </w:t>
            </w:r>
            <w:r>
              <w:rPr>
                <w:rFonts w:ascii="SimSun" w:hAnsi="SimSun" w:eastAsia="SimSun" w:cs="SimSun"/>
                <w:b/>
                <w:color w:val="000000"/>
                <w:sz w:val="24"/>
              </w:rPr>
              <w:t xml:space="preserve">考核                     时间       年     月      日</w:t>
              <w:tab/>
              <w:t xml:space="preserve">                                                                  </w:t>
            </w:r>
            <w:r/>
          </w:p>
        </w:tc>
      </w:tr>
      <w:tr>
        <w:trPr>
          <w:trHeight w:val="285"/>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w:t>
            </w:r>
            <w:r/>
          </w:p>
        </w:tc>
      </w:tr>
      <w:tr>
        <w:trPr>
          <w:trHeight w:val="1266"/>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一、安全工作</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1.1安全基础。执行管理处各项安全制度，安全台帐记录按管理所要求规范填写，清晰、准确，无缺漏项。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未达到要求，扣3分。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96"/>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安全检查。（1）根据实际情况定期开展安全自查；（2）定期对设备设施实施检查，确保完好；（3）各类劳动工具、安全用具投入符合合同要求；（4）及时上报安全隐患并做好应急处理，检查、巡查及隐患处理记录资料规范，配合管理处按期完成隐患整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未达到要求，每次扣1分。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信息管理，（1）每月28日前按要求及时上报工作总结、工作计划等书面材料，及时汇报每季工作中存在的问题和需要改进的地方；（2）在30分钟内上报各类影响安全生产的安全问题和突发事件，不发生迟报、漏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28"/>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安全教育。（1）新进(包括转岗)员工完成岗前安全教育培训，未经安全生产教育和培训合格的人员，不得上岗作业；（2）安全管理和技术人员具备行业规定的生产作业上岗位，特殊工种做到持证上岗，如高空作业证、电工证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消防管理。（1）建立健全灭火器材档案；（2）按月检查灭火器，规范填写记录，失效灭火器更换及时；（3）每年至少2次开展员工消防知识培训和灭火技术的训练；（4）不发生违反消防规定行为。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47"/>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安全管理。（1）食堂规范使用液化气，液化气瓶及灶具符合行业质量要求；（2）按规定储藏易燃易爆及各类化学、危险品；（3）不得私自接拉、扩容电表，不得使用大功率电器；（4）不得在宿舍使用明火灶具烧水烧饭，禁止吸烟和其他明火，禁用大功率电气设备；（5）加强现场管理，不得违规外接电源和私接临电；（6）加强员工教育，从点滴抓起，做好节能降耗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95"/>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作业管理。（1）作业人员现场防护措施到位，登高作业须专人看护并佩戴保险带、安全帽，高压等作业严格执行操作票，严格遵守安全生产操作规定，严格执行二票三制，设备运行安全；机械等作业须建立安全的组织流程；（2）作业现场管理人员与生产人员配比符合合同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1.8现场管理。（1）做好闸区外来人员登记工作，及时向管理所汇报；（2）做好闸区外来钓鱼人员劝离、教育工作，确保工程安全运行；（3）当日值班人员须保持座机、手机信息畅通及及时应答。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二、运行保障（35分）</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每年在汛前4月配合管理处完成防洪预案、应急预案的修订工作；（2）每年汛前防汛应急抢险人员、设备设施和物资准备到位，按管理处要求落实应急抢险小组；（3）每年汛前汛后完成工程定期检查，分别于3月及10月提交各工程存在问题清单、检查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0"/>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按照有关规范要求，按时完成年度电气设备预防性试验工作；（2）加强设备设施维护管理，提前做好分析预判，提出合理的运行维护方案，防止设备设施在运行关键阶段突发故障，导致对安全生产造成负面影响；（3）对突发的设备故障要分析原因，提出应对之策，确保设备设施运行保障率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2"/>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2.3（1）设备设施管理组织体系健全，划分明确的设备管理员；（2）设备设施管理制度健全，资料完整，档案完善，帐物相符；（3）设备标牌、标示清晰。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2"/>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2.4严格遵守相关工作规程，定期对机电设备、启闭机、闸门、辅助设备、金属结构、建筑物工程进行维护保养，确保设备安全和正常运行，并做好相应的维修养护记录。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62"/>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按照安全和质量要求，配合做好设备设施大修维护现场管理，以及大修工程的试运行和验收，及时发现和反馈施工质量等问题；（2）配合做好设备维修登记工作，并与设备管理卡相关联；（3）按照合同要求，每年对安全用具绝缘靴、绝缘手套、接地线、高低压验电器等定期试验，合格证日期无缝连接，形成闭环；（4）日常养护资料齐全，管理规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2.6精准执行调度指令，开关机及时，切实做好水位控制。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未达到要求每次扣2分。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按规定周期对工程及设施进行日常检查，日常巡视检查每日不少于1次，经常检查每周不少于1次；（2）每年汛前、汛后或引水前后，对泵站（水闸）各部位进行全面检查；（3）当出现恶劣天气预警时，当泵站（水闸）经受地震、风暴潮、台风等自然灾害、超过设计水位运行或发生重大工程事故后，进行专项检查，发现隐患、异常及时处理、上报，检查内容全面，记录详细规范，编写检查报告，并将检查报告上报至管理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18"/>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三、基础管理（34分）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1）委托管理单位现场组织机构设置、人员、设备、设施配备符合合同要求；（2）技术人员需每周巡视现场两次；（3）泵站（水闸）运行操作必须双人在岗；（4）管理单位更换项目负责人及技术负责人须经发包人同意，拟继任人选的资历应不低于招标文件要求，且需调整需发包人同意后方可执行；（5）委派到现场管理机构履行本合同的运行管理人员，对工程运行中出现的问题有一定的应急处理能力，持证上岗（含高压电工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未达到要求的，每项扣2分，并限期15天内整改。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92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设备养护。（1）保证管理区域内的照明器具工作正常，保持完好；(2)设备、设施、管道、栏杆色标准确，油漆完好，无严重锈蚀；(3)经常清洗水标尺，保证完好有效；(4)做好机电设备及配电房内部的保洁工作，做到场地整洁，物品堆放整齐到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未达到要求，每发生一起扣2分。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05"/>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3.3管理区维护。（1）做好标志标牌维护及更新工作；（2）做好管理用房照明设备维护工作；（3）做好闸站进出水口水面保洁工作。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未达到要求，每发生一起扣2分。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25"/>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台账要求。（1）按技术管理规范，按时填写各类控制运行记录表及工程检查记录表；（2）内容准确详细，值班人员无漏签、漏填。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未达到要求的，每项扣2分。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3.5专项工作。（1）根据计划安排，按期推进工程观测、白蚁防治等专项工作。（2）按管理处要求，配合“传帮带”培养计划，“一对一”师徒制教学，定期组织学习培训，确保培训效果。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5"/>
        </w:trPr>
        <w:tc>
          <w:tcPr>
            <w:gridSpan w:val="3"/>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3.6管护效果。按照精细化管护要求，做好现场硬件提升、设施设备管护及台账填写，设施设备整洁，台账规范。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未达到要求，每项扣2分。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运行管理单位代表签字：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考核小组成员签名：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清单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扬州市城市河道管理处2026年闸站管护项目（采购包1）</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2"/>
        <w:gridCol w:w="822"/>
        <w:gridCol w:w="1024"/>
        <w:gridCol w:w="559"/>
        <w:gridCol w:w="631"/>
        <w:gridCol w:w="915"/>
        <w:gridCol w:w="908"/>
        <w:gridCol w:w="705"/>
        <w:gridCol w:w="743"/>
        <w:gridCol w:w="357"/>
      </w:tblGrid>
      <w:tr>
        <w:trPr>
          <w:trHeight w:val="9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定额编号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常规单位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常规数量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复价（元）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备注</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扬州市城市河道管理处2026年度闸站-包一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扬州水利枢纽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扬州闸泵站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2.0~2.5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电机功率(kW) 800~1500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0.8以下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≤10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≤10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≤10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16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电动葫芦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300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回转式清污机 栅体宽度 ≤6.0m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回转式清污机 栅体宽度 ≤6.0m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输送机养护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供排水系统养护 泵站流量(m3/s) 50~100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通风设备养护 通风量(m3/s) 10~20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扬州船闸、盐亭子闸、导流涵闸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2×100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液压式启闭机养护（启闭系统）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100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单吊点 启门力(kN以下) 100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1.2~1.6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供排水系统养护 泵站流量(m3/s) 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抓斗式清污机 栅体宽度 ≤4.0m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10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2×400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引水总站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引水总站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柴油发电机组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平山堂泵站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平山堂泵站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钢拍门 面积(m2) &gt;4.0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检修门 检修门槽水下清理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沿山河西闸站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沿山河西闸站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S8-69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接地装置 35kV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钢拍门 面积(m2) &gt;4.0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2×400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检修门 检修门槽水下清理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孔·次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拦污栅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润扬河闸、仪扬河闸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润扬河闸、仪扬河闸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2×400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变压器养护 容量(kVA以下) 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柴油发电机组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200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户内硬母线 截面(mm2 ) ≤800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10m/单相一片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金属结构油漆 小型金属结构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室内照明 功率(W) ≤100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管理区引水涵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管理区引水涵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手动30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高低压设备预防性电气试验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容量2000kVA以下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断路器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带电抗路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接地装置调试 接地网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普通交流同步电动机调试 10kV以下电机降压起动 4000kW以下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低压笼型电动机调试(控制保护类型) 带过流保护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S8-89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电源设备 蓄电池馈线屏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容量2000kVA以下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容量2000kVA以下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容量2000kVA以下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S8-89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电源设备 蓄电池馈线屏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接地装置调试 接地网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低压笼型电动机调试(控制保护类型) 带过流保护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S8-89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电源设备 蓄电池馈线屏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润扬河管理处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润扬河管理处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接地装置调试 接地网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低压笼型电动机调试(控制保护类型) 带过流保护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S8-89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电源设备 蓄电池馈线屏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母线系统调试 1kV以下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办公楼配电室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办公楼配电室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电力变压器系统调试 10kV以下变压器 容量560kVA以下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1kV以下交流供电 (综合)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送配电装置系统调试 10kV以下交流供电 负荷隔离开关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避雷器调试 10kV以下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接地装置调试 接地网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安全用具检测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安全用具检测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安全用具检测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人员运行费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运行操作人员（全年值守）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培训人员费用（培训一个月）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人员队伍及抢险设备租赁费,费用包干，不可竞争费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人员队伍及抢险设备租赁费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应急抢险维修费用，按实结算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应急抢险维修费用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J4-253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 水域保洁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万m2·次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万m2·次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1664.746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1664.746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管理用房蚁害检查及白蚁防治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管理用房蚁害检查及白蚁防治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管理用房蚁害检查及白蚁防治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木结构廊亭蚁害检查及白蚁防治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木结构廊亭蚁害检查及白蚁防治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木结构廊亭蚁害检查及白蚁防治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水平位移观测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盐厅子闸-工程观测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黄金坝闸片区管理所-工程观测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瘦西湖引水总站-工程观测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高桥闸站-工程观测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便益门闸站-工程观测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仪扬河闸-工程观测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管理区引水涵-工程观测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安墩闸片区管理所-工程观测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二道沟闸-工程观测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念四闸站-工程观测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新城河江阳路节制闸站-工程观测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平山堂泵站-工程观测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沿山河西闸站-工程观测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新城河涵洞-工程观测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黄泥沟涵洞-工程观测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赵家支沟涵闸-工程观测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四望亭涵闸-工程观测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通运闸片区管理所-工程观测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河道断面测量断面宽≤50m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通运闸东闸首-工程观测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七里闸站-工程观测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河道断面测量断面宽&gt;500m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内河工程无压测压管水位观测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曲江闸站-工程观测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太平闸站-工程观测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上下游水准尺校核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垂直位移观测三等水准 困难类别 复杂 外业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润扬河管理所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J5-94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水下探摸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备注：上述不含电费，闸、站运行管护产生的电费由采购人与供电方结算。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报价中应包含运行人员保险费、服装费、交通费、食宿费及管理费、税金等。</w:t>
        <w:b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51" w:right="0" w:hanging="5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二、采购包</w:t>
      </w:r>
      <w:r>
        <w:rPr>
          <w:rFonts w:ascii="Arial" w:hAnsi="Arial" w:eastAsia="Arial" w:cs="Arial"/>
          <w:b/>
          <w:color w:val="000000"/>
          <w:sz w:val="24"/>
        </w:rPr>
        <w:t xml:space="preserve">2</w:t>
      </w:r>
      <w:r>
        <w:rPr>
          <w:rFonts w:ascii="SimSun" w:hAnsi="SimSun" w:eastAsia="SimSun" w:cs="SimSun"/>
          <w:b/>
          <w:color w:val="000000"/>
          <w:sz w:val="24"/>
        </w:rPr>
        <w:t xml:space="preserve">项目需求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1、基本情况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项目概况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市城市河道管理处下辖的14座水工建筑物：（1）通运闸站（包括通运闸东闸首）、（2）七里闸站、（3）太平闸站、（4）曲江闸站、（5）高桥闸站、（6）便益门闸站、（7）安墩闸站、（8）念泗闸站、（9）江阳路节制闸、（10）二道沟闸、（11）新城河闸、（12）四望亭闸、（13）黄泥沟闸、（14）赵家支沟闸。 闸站情况概览见表1。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  本项目十四座闸站情况概览表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
        <w:gridCol w:w="891"/>
        <w:gridCol w:w="1004"/>
        <w:gridCol w:w="1101"/>
        <w:gridCol w:w="1041"/>
        <w:gridCol w:w="803"/>
        <w:gridCol w:w="1413"/>
        <w:gridCol w:w="97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所在水系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工程功能</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设计流量（m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工程规模</w:t>
            </w:r>
            <w:r/>
          </w:p>
        </w:tc>
      </w:tr>
      <w:tr>
        <w:trPr>
          <w:trHeight w:val="65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泵站</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古运河东--沙施河七里河片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通运闸站（包括通运闸东闸首）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水闸、泵站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七里闸站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曲江闸站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老沙河与京杭大运河交汇处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水闸、泵站可引可排，防洪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太平闸站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沙施河与古运河交汇处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水闸、泵站可引可排，防洪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蜀冈-瘦西湖片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安墩河与古运河交汇处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中型泵站小（1）型水闸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二道沟闸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二道沟与古运河交汇处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排涝、通航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高桥闸站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漕河与古运河交汇处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排涝、引水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便益门闸站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古运河与北城河交汇处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新城河片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念泗闸站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念四河与新城河交汇处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江阳路节制闸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位于新城河、江阳路以南约80米处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引水、排涝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四望亭闸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四望亭河与沿山河交汇处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赵家支沟闸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沿山河与赵家支沟交汇处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黄泥沟闸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沿山河与揽月河交汇处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新城河闸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沿山河与新城河交汇处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小（2）型</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管护运行方式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中标人负责按相关水利工程管理规范的要求，做好本包内的工程运行管护，完成招标文件要求的其他事项。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运行管理及维修养护范围及要求：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2.1委托管理的范围：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采购人工作计划要求，做好14座水利工程的高标准运行管护、工程检查、进出水口保洁、消防设施维护（含灭火器充气、更换、定期检测等，包括管理所办公区域）等工作；在闸区管理范围内配置足够的溺水救生设备，并及时更新维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（2）协助采购人做好仓库标准化建设和信息化巡查工作。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（3）养护维修：城市河道处14座闸站中所有水工建（构）筑物、机电设备、金属结构等的日常养护和突发性设备故障诊断和应急处置工作。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（4）做好闸站机电设备及配电房的卫生保洁工作，并听从各管理所负责人安排，遇重大接待、重要检查等活动时，协助进行保洁工作。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（5）人员培训：包括但不限于按我处要求或根据运行管理要求安排指定人员参加相关培训。</w:t>
      </w:r>
      <w:r/>
    </w:p>
    <w:p>
      <w:pPr>
        <w:ind w:left="0" w:right="0" w:firstLine="422"/>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2.2人员配置要求：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根据工程管理的实际需要及采购人的有关要求，合理配置有丰富实践经验的运行人员，若出现运行人员能力不达标或不服从管理所调配和管理的情况，管理所可提出更换人员要求，中标人需在5个工作日内重新选配满足条件的运行人员。基本要求如下</w:t>
      </w:r>
      <w:r>
        <w:rPr>
          <w:rFonts w:ascii="SimSun" w:hAnsi="SimSun" w:eastAsia="SimSun" w:cs="SimSun"/>
          <w:b/>
          <w:color w:val="000000"/>
          <w:sz w:val="21"/>
        </w:rPr>
        <w:t xml:space="preserve">（人员数量不低于清单中所标注的数量）</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运行人员：</w:t>
      </w:r>
      <w:r>
        <w:rPr>
          <w:rFonts w:ascii="SimSun" w:hAnsi="SimSun" w:eastAsia="SimSun" w:cs="SimSun"/>
          <w:color w:val="000000"/>
          <w:sz w:val="21"/>
          <w:highlight w:val="yellow"/>
        </w:rPr>
        <w:t xml:space="preserve">主要工种包括起重工、电工等</w:t>
      </w:r>
      <w:r>
        <w:rPr>
          <w:rFonts w:ascii="SimSun" w:hAnsi="SimSun" w:eastAsia="SimSun" w:cs="SimSun"/>
          <w:color w:val="000000"/>
          <w:sz w:val="21"/>
        </w:rPr>
        <w:t xml:space="preserve">，具有相应技术执业资格，持证上岗，对工程运行中出现的问题有一定的应急处理能力，在管理所的安排下做好相关工作，其中运行人员需持有正规技能培训鉴定站的考核合格证书，特种作业人员（如电工、高空作业工等）应持有省应急管理厅签发的特种作业操作证，运行班人数每班不低于2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2.3委托管理内容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2.3.1组织管理方面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（1）管理体系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工程实际情况及采购人的具体要求，组织配备相应的闸站运行人员27名，设置总运行班长1名，牵头协调各管理所运行人员工作安排，各管理所分别明确1名运行班长（其中1名可由总运行班长兼任），满足本工程的安全运行管理需要；除按社保要求缴纳相关社会保障资金外，所有人员必须购买雇主责任险、意外伤害险，切实保障劳动者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所有人员均作为河道处应急抢险人员，发生应急情况和养护项目专业技术有特殊要求情况，中标人应根据工作需要配足专业人员，并明确工作时间。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沿山河管理所：4名运行人员（</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4人，其中持证电工不少于1人次）。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黄金坝管理所：3名运行人员（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2人，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1人，其中持证电工不少于1人次）。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安墩管理所：10名运行人员（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6人，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4人，其中持证电工不少于2人次，信息化专业人员不少于1人次）。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通运管理所：10名运行人员（</w:t>
      </w:r>
      <w:r>
        <w:rPr>
          <w:rFonts w:ascii="SimSun" w:hAnsi="SimSun" w:eastAsia="SimSun" w:cs="SimSun"/>
          <w:color w:val="000000"/>
          <w:sz w:val="21"/>
          <w:highlight w:val="yellow"/>
        </w:rPr>
        <w:t xml:space="preserve">泵站运行工种</w:t>
      </w:r>
      <w:r>
        <w:rPr>
          <w:rFonts w:ascii="SimSun" w:hAnsi="SimSun" w:eastAsia="SimSun" w:cs="SimSun"/>
          <w:color w:val="000000"/>
          <w:sz w:val="21"/>
        </w:rPr>
        <w:t xml:space="preserve">7人，</w:t>
      </w:r>
      <w:r>
        <w:rPr>
          <w:rFonts w:ascii="SimSun" w:hAnsi="SimSun" w:eastAsia="SimSun" w:cs="SimSun"/>
          <w:color w:val="000000"/>
          <w:sz w:val="21"/>
          <w:highlight w:val="yellow"/>
        </w:rPr>
        <w:t xml:space="preserve">闸门运行工种</w:t>
      </w:r>
      <w:r>
        <w:rPr>
          <w:rFonts w:ascii="SimSun" w:hAnsi="SimSun" w:eastAsia="SimSun" w:cs="SimSun"/>
          <w:color w:val="000000"/>
          <w:sz w:val="21"/>
        </w:rPr>
        <w:t xml:space="preserve">3人，其中持证电工不少于2人次，信息化专业人员不少于1人次）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运行班长需做好管理所的各个站点巡查，每周至少一次，汛期每周至少两次，指导做好定期检查养护及试运行工作，运行期间的闸站必须保证双人在岗。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总计27人，各管理所人员不得混用。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（2）教育培训方案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中标人定期组织工程运行管理人员的职业道德、技术业务等教育培训工作，每季度不少于1次，明确培训频次、主题、参与人员；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（3）建立各项管理规章制度，包括但不限于《管理人员岗位责任制》、《工程运行管理制度》、《职工教育和培训制度》。</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2.3.2安全管理方面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贯彻执行《中华人民共和国水法》、《中华人民共和国防洪法》、《中华人民共和国安全生产法》、《江苏省水利工程管理条例》、《江苏省河道管理实施办法》、《江苏省安全生产条例》、《扬州市河道管理条例》等有关法律、法规及上级主管部门的指示，做好依法管理，维护权益，保障工程安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(2)防汛应急预案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落实防汛抢险组织和岗位责任制，制订防汛应急预案，建立防汛防旱领导小组，明确成员主要职责，建立预防和预警机制，明确防汛防旱保障措施，确保汛期各项措施全部到位。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（3）建立各项管理规章制度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（4）建立工程运行、设备维修养护、防火、安全用电和安全保卫等方面的安全管理制度，措施可行，符合工程实际情况。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(5)按规定做好设备设施的防盗防损措施，加强对计算机的安全使用管理。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(6)按规定建立安全防火、安全保卫、安全教育与考核、事故处理、事故调查与报告制度。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(7)按规定建立安全组织网络。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(8)定期组织管护服务人员进行安全知识的培训，定期组织安全教育活动，特种作业人员应专门培训。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(9)严格执行动火、带电作业工作票制度。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(10)安全器械、用具应专人管理、按点放置、定期保养。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(11)事故发生后，应立即采取措施限制事故的扩大，并按规定及时上报。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(12)发生事故后，中标人应积极配合事故调查和事故处理工作。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2.3.3运行管理方面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总体要求：中标人须按照水闸、泵站相关管理技术规程对闸站进行管护。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2.3.3.1贯彻执行《中华人民共和国水法》、《中华人民共和国防洪法》、水利部《水闸技术管理规程》、《江苏省水利工程理条例》、《江苏省河道管理实施办法》、《江苏省水闸技术管理办法》等有关法律、法规及上级主管部门的指示，做好依法管理，维护工程权益，保障工程安全，负责组织本工程运行管理人员的职业道德、技术业务等教育培训和考核考评工作，闸站工程运行操作人员必须持证上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2.3.3.2中标人须加强对委托管理范围内工程设施、设备等的检查养护工作，实行定期检查制度，并及时将检查情况向采购人汇报。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2.3.3.3中标人应组织技术管理人员认真学习工程的管理细则和有关技术标准，熟悉工程规划、设计、施工等情况，熟悉工程各部位结构，掌握控制运用、检查、养护修理等管理业务，做好所管工程的技术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2.3.3.4中标人应建立《工程大事记》，对管理中发生的重大技术问题，应详细记录并归入技术档案。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2.3.3.5根据泵站、水闸等规范以及本工程设施、设备的实际情况和采购人的有关要求，协助采购人编制工程设施、设备检查、维护保养、安检以及日常管理的工作计划。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2.3.3.6设备养护要求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2.3.3.6.1水泵：定期检查、清洁、除锈、油漆、渗漏水处理、渗漏油处理、局部焊接、补加润滑油、更换、补充填料等。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2.3.3.6.2电动机：定期检查、清洁、除锈、油漆、渗漏水处理、渗漏油处理、局部焊接、绝缘检测与干燥、补充过滤润滑油、试验配合等。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2.3.3.6.3开关柜、箱：定期检查调试、清洁、除锈、油漆，开关、指示灯、熔丝、接触器、限位开关等易损件处理与更换，绝缘检测与处理、碳刷磨损更换、接线松动处理、试验配合等。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2.3.3.6.4直流系统：直流系统定期检查，清洁、除锈、油漆，各类仪表定期效验、易损件更换、接线松动处理、绝缘检查与处理、蓄电池充放电等。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2.3.3.6.5变压器：定期检查,外壳清洁、除锈、油漆、焊补,试验配合。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2.3.3.6.6母线、电缆：定期检查,清洁、除锈、油漆,试验配合等。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2.3.3.6.7隔离刀闸：隔离刀闸定期检查，清洁、除锈、油漆，易损件更换、接线松动处理、绝缘检查与处理、试验配合等。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2.3.3.6.8水系统：定期检查,少量部件维修,清洁、除锈、油漆、局部焊补、调整,漏油处理,更换、补充润滑油,更换、补充填料，压力表计校验、配合、试运转等。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2.3.3.6.9拍门：定期检查清洗、局部修补、除锈、油漆、止水密封更换、缓冲装置调整等。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2.3.3.6.10清污机：定期检查清理,少量部件焊补,各部位清洁、除锈、油漆、转动部件加油、试运转等。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2.3.3.6.11拦污栅：定期检查清理,少量部件焊补,各部位清洁、除锈、油漆、转动部件加油、试运转等。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2.3.3.6.12起重设备：定期检查，少量部件维修，钢丝绳清洗、除锈、抹黄油并用胶皮捆扎保护等。电动机清洁、除锈、绝缘检测与处理、更换、补充润滑油，控制、动力线路维护、老化处理、检测配合、试运转等。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2.3.3.6.13闸门：定期清洗、局部修补与油漆、滚轮加油、吊具吊座和止水调整紧固等。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2.3.3.6.14启闭机：转动系统、机架、罩壳电动机等部位清洁、除锈、局部油漆，运转部位漏油处理、加油润滑,制动系统退程及间隔调整，电动机绝缘检测，机架固定螺栓紧固等。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2.2.3.6.15启闭机启闭系统：油泵、电动机、油缸、油箱、管道、闸阀、机架 、锁定装置等部位清洁、除锈、局部油漆、漏油处理、过滤补油等。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2.2.3.6.16设备表面防腐养护：各类设备表面局部人工除锈、刷防锈漆，重新刷面漆一度。设备表面防腐（室内）所有闸站室内主水泵和主电机面积和所有闸站室内机电设备急需处理的面积；设备表面（室外）所有闸站闸门面积、各闸站拍门面积、清污机面积及各闸站室外急需处理的辅助金属设备面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2.3.3.6.17柴油发电机组养护：机组清洁除尘、漏油处理、设备保养、机架除锈油漆、零配件更换、定期试运行等。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2.3.3.6.18拦河设施养护：拦船浮桶除锈、钢丝绳紧固等。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2.3.3.6.19上述所列设备养护要求仅供参考，各闸站中所有未列设备均包含在养护范围内，具体执行时按相关规范要求执行。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2.3.3.7管护要求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2.3.3.7.1管护应严格操作票、工作票、巡视检查制度，做好管护服务记录，健全各类台帐记录。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2.3.3.7.2管护服务的人员素质及数量应符合采购人的要求。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2.3.3.7.3中标人应建立《工程大事记》，对管护服务中发生的重大技术问题，应详细记录并归入。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2.3.3.7.4中标人需将各类“操作规程”、“安全规程”和工程的主要技术指标等相关图表在适当位置张贴上墙。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2.3.3.7.5中标人应组织技术管理人员认真学习本工程的管理细则和有关技术标准，熟悉工程规划、设计、施工等情况，熟悉工程各部位结构，掌握控制运用、检查观测、养护修理等管理业务，做好所管的技术管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2.3.3.7.6中标人应无条件服从采购人的指挥。进入汛期必须建立健全防汛应急预案，保证24小时有人值班，确保通讯畅通。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2.3.3.7.7中标人应加强对工程设施设备的汛前、汛期和汛后检查工作。在汛期，如发现防汛工程设施出现险情或设备异常无法安全运行时，应立即采取相应处理措施，控制险情或故障的扩大和蔓延，及时向采购人报告，并组织力量做好工程设施设备的恢复正常运行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2.3.3.7.8汛前、汛后中标人必须完成机电设备的全面保养工作，以确保工程的设备设施处于随时投入运用的良好状态。并自觉接受采购人及上级水行政主管部门组织的汛前、汛后检查等，做好汛前、汛后检查的台账整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2.3.3.7.9日常养维修护工作要按照一定的频次及标准执行，确保维修养护工作质量。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2.3.3.7.10运行期和非运行期、汛期和非汛期，管理人须按不同的要求做好水情测报工作。应建立汛期、运行期水情、工情报告制度，确保水情、工情及时上报，为市防指科学调度提供基础数据。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2.3.3.8掌握水情、雨情、工情，做好防汛抗旱、改善水环境和其它服务工作；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2.3.3.9控制运用调度方案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明确各闸站运用调度指令下发人、执行人、记录人，规定操作步骤，根据工程控制运用原则和采购人的指令做好泵站、水闸的控制运用调度工作，并保证工程的正常运行。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《闸站工程运行管理基本要求》(不限于以下要求)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1.1严格遵守水利工程的各类管理规范水闸设备管理规程及其他相关规定中设备管理的周期、质量要求。中标人应按规定定期对工程设备进行评级。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1.2负责扬州市城市河道管理处下辖14座闸站工程的日常检查、维护、保养和设备校验工作，确保设备完好。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1.3按照要求，对所管设备每年进行汛前、汛后、经常检查，确保设备处于完好状态。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1.4所有机电设备按规定编号、标色；开关、阀门等有开关方向标志的都必须标明。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1.5所有机电设备应建档挂卡，记录设备维修及现状情况，并明确责任人。建筑物、设备(包括水文测站基本设施及专用仪器)养护完好，设备表面无油污、积尘及破损现象。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按规定对仪表、安全器具等进行各项试验、校验等。试(校)验记录齐全，手续齐备，资料及时整理、分析、存档。校验不合格的机具，中标人负责采购、更换。如有采购人提供的机具，由中标人负责提出技术要求，实施安装及日常管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2机电设备运行管理基本要求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(1)认真执行例保和润滑五定制度，要求机电设备机貌清洁，无渗油、无渗水、无积尘、无锈斑，状况良好，运行正常。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按照《江苏省水利工程精细化管理评价办法》、《江苏省泵站技术管理办法》、《江苏省水闸技术管理办法》中有关规定定期对本工程相关设备进行检修保养及试验校核等工作，发现故障及时排除并分析原因，确保设备的完好和运行安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(3)严格执行各类电气设备的运行、操作、检修规程，做好电气设备的预防性试验及安全用具的检测工作，杜绝人为重大设备事故的发生。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(4)至少二人以上具备高压操作证人员才能进入高低压室巡检，如需进行维修，按工作需要填写工作票，且检修时必须有专职的监护人专职监护。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(5)运行、检修等必须有台帐记录。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(6)编制主要设备维修计划上报采购人。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3建构筑物及相关设施运行管理基本要求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(1)做好管理范围内所有建（构）筑物的除尘、保洁等, 做到窗明几净，无积尘，无积水，围墙、道路、泵房、闸室及附属建筑墙屋面大面积剥落、裂缝、渗漏，道路坍塌，及时向采购人报告。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(2)对相关外露装置如保护接地装置注意做好保养工作录。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(3)保证管理区域内的照明器具工作正常，保持完好。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(4)设备、设施、管道、栏杆色标准确，油漆完好，无严重锈蚀。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(5)水位计完好有效，经常清洗水标尺。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(6)做好闸站环境卫生工作，做到场地整洁，物品堆放整齐到位。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2.3.4巡查维修方面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2.3.4.1定期检查方案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明确工程定期检查的时间、频次、范围，提供记录及分析研究方案，随时掌握工程状态，发现异常情况时提出处理方案并向采购人汇报；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2.3.4.2维修养护方案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明确工程维修养护的频次、日常养护的内容、确保工程安全完整的相关措施、巡查工程的频次和相关技术人员；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2.3.4.3信息化巡查方案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需加强对运行人员信息化系统的培训，配合采购人做好14座闸站的信息化系统及设备的操作运行、日常巡检，发现问题及时向采购人反馈，明确巡查频次、巡查要求及流程。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2.3.4.4泵站机泵主要设备管理、养护要求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(1)清洁：每天对主机泵进行清理，机泵外壳保持无尘、无污、无锈，表面清洁。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(2)润滑：检查电机温度是否正常，无渗漏现象。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(3)检查水泵外盖无渗水现象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(4)运行巡视检查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①运行监视数据准确可靠，运行记录完好。机组无报警。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1"/>
        </w:rPr>
        <w:t xml:space="preserve">机泵运行后，应无异声和异味，电动机电压、电流在额定值内，温升和轴承的最高温度应符合规范要求，测温和综合检测系统准确可靠。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2.3.4.5高低压电气设备养护要求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（1）严格遵守有关高低压电气设备运行、操作和检修规程中的有关规定，做好电气设备的维修和试验以及电气测量仪表校验工作。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（2）电动机、变压器、压互感器、电流互感器、隔离开关、真空开关等电气设备及其开关柜外观清洁、无异常现象；各种开关、继电保护装置，触点良好，接头牢固；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（3）蓄电池按规定进行充放电试验，电压、容量正常，极板无变形；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（4）各种电力线路均应防止漏电、短路、断路、虚连等现象，定期测量导线绝缘电阻值；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（5）指示仪表、接地系统及避雷器等均应按供电部门有关规定定期检验；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（6）配电房、配电柜、自备电源的柴（汽）油发电机按有关规定定期维护、检修；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（7）落实日常巡视检查检修的组织和技术措施。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2.3.4.6闸门门叶养护要求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(1)闸门门体无影响安全的变形、锈蚀，无焊缝开裂、螺栓及铆钉松动；支承行走机构运转灵活；止水装置完好，门槽、门坎无损坏。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(2)闸门表面外观整洁，附着的水生物、泥砂、污垢、杂物等应定期清除，闸门的联接紧固件应保持牢固。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(3)运转部位的加油设施应保持完好、畅通，并定期加油，确保运转部位润滑可靠。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(4)钢闸门防腐蚀应符合SL105-95《水工金属结构防腐蚀规范》的规定，可采用涂装涂料和喷涂金属等措施进行维护修补，采购人提供防腐材料。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(5)钢闸门使用过程中，对表面涂膜(包括金属涂层表面封闭涂层)定期检查，发现水上部分剥落、鼓泡、龟裂、明显粉化等老化现象时，应重作防腐涂层。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(6)闸门止水装置密封可靠，闭门状态时无翻滚、冒流现象；止水橡皮出现严重的磨损、变形、自然老化现象或漏水量超过规定值的应更换；止水压板严重锈蚀时应更换；压板螺栓、螺母不齐全时应补全。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2.3.4.7拦污栅、清污机管理要求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(1)清洁：机架、电机外表、电气控制箱每周一次。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(2)润滑</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7"/>
        <w:gridCol w:w="2466"/>
        <w:gridCol w:w="2641"/>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润滑部位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润滑剂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周期</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轴承座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钙基润滑油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次/一季度</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滑转动部位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钙基润滑油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次/30日</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做好润滑记录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1"/>
        </w:rPr>
        <w:t xml:space="preserve">拦污栅定期起吊清理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1"/>
        </w:rPr>
        <w:t xml:space="preserve">每半年应检查一次所有紧固件是否松动，如有松动应及时拧紧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(4)定期维护保养：定期检查钢丝绳松紧度、滚子的润滑程度和钢丝断丝情况等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2.3.4.8控制系统管理要求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(1)投入运行的设备均应有专职维护人员，建立完善的岗位责任制。建立完善的交接班制度。在处理事故、进行重要的测试或操作时，不得进行交接班。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(2)定期对该设备进行巡视，检查测试和记录，发现情况及时处理，应建立分管设备的帐、卡。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(3)建立运行日志，每月作运行统计和分析。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(4)运行发生故障后，应认真检查控制系统对故障的反应是否正确，详细记录并作出结论。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(5)未经调度自动化专业人员同意，不得在远动设备及可能影响其运行的二次回路上工作和操作。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(6)历史数据应定期备份并存档。修改前后的软件必须进行备份，并作好修改记录。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2.3.4.9设备涂色要求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设备涂色分为设备类涂色标准和设施类涂色标准，其中安全色参照国家标准GB2893，部分参照GB/3181中相关的设备颜色标准。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2.3.4.10其他管理要求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(1)按规定做好设备设施的防盗防损措施，加强对计算机的安全使用管理。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(2)按规定建立安全防火、安全保卫、安全教育与考核、事故处理、事故调查与报告制度。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(3)按规定建立安全组织网络。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(4)定期组织管护服务人员进行安全知识的培训，定期组织安全教育活动，特种作业人员应专门培训。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(5)严格执行动火、带电作业工作票制度。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(6)安全器械、用具应专人管理、按点放置、定期保养。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(7)事故发生后，应立即采取措施限制事故的扩大，并按规定及时上报。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(8)发生事故后，中标人应积极配合事故调查和事故处理工作。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2.3.4.11维修养护计划要求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2.3.4.11.1汛前（1-4月）工作计划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2.3.4.11.1.1天气寒冷要做好保暖防冻工作。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2.3.4.11.1.2春节来临前要加强安全教育工作，合理安排节日值班和防盗工作。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2.3.4.11.1.3加强管护服务及考核检查力度，防止脱岗等现象发生。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2.3.4.11.1.4本季天气干旱时，做好消防工作，检查消防器材应完好。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2.3.4.11.1.5三月底前，必须全面完成汛前设备设施的检修维护保养工作，准备接受采购人以及上级主管部门组织的汛前检查。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2.3.4.11.1.6设备维护保养必须严格实行有关条例，做好设备清洁、润滑、紧固、油漆等工作，检查厂房建筑物等有无漏雨、积水等现象，若有及时处理。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2.3.4.11.1.7所有设备保养均应在断电条件下进行，做好二级隔离，应有完备的手续（包括停电申请）。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2.3.4.11.1.8设备保养后应有记录，并有保养人和验收人的签字，资料应齐全、完整。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2.3.4.11.1.9加强对职工的技术培训，提高业务技能。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2.3.4.11.2汛期（5-9月）工作计划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2.3.4.11.2.1由于进入梅雨季节，闸站应做好自身电器设备的绝缘工作，以及要做好防触电事故工作。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2.3.4.11.2.2设备发生小故障应及时处理；当发生大的故障时，及时上报采购人，并立即分析原因，制定抢修方案及处理意见。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2.3.4.11.2.3高温季节要加强对变配电间的巡视，确保变配电间通风良好，防止高温造成设备故障。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2.3.4.11.2.4做好设备例保工作。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2.3.4.11.3汛后（10-12月）工作计划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2.3.4.11.3.1对所有设备进行维护、保养工作。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2.3.4.11.3.2对电器设备、电气安全用具进行预防性试验。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2.3.4.11.3.3对河道、设备、设施、水下部分进行检查。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2.3.4.11.3.4做好工程运用资料的汇编工作。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2.3.4.11.3.5做好年终各项总结工作及来年的工作安排。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2.3.4.11.3.6做好有关准备工作，接受采购人组织的年度工程管理目标考核。</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2.3.5台账建设方面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需对照江苏省精细化的要求，做好台账资料的汇编整理，制定台账整编及存储方案，明确各项所需填写台账名录、填写频次和填写要求。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2.3.5.1技术资料存档要求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(1)凡工程建设的各种资料，设备运行、维护、保养资料都应及时整理成册，交付采购人存档。有必要保存的原始数据记录整理后装订成册，交付采购人存档。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2.3.5.2技术档案管理要求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(1)技术资料应分类、装订成册，按规定编号，存放在专用的资料柜橱内；资料柜橱应置于通风干燥处，防潮、防腐蚀、防霉、防有害生物和防污染，同时应有防火、防盗等设施。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(2)工程基本资料永久保存，规程规范可保存现行的，其它资料应长期保存。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(3)已过保管期的资料档案，必须经过采购人或其上级主管部门鉴定，确认可销毁的造册签字，指定专人销毁。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(4)技术档案应专人管理，人员变动时应按目录移交资料，并在清单上签字，同时得到单位领导认可，不得随意带走或散失。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（5）中标人必须自觉接受采购人及上级主管部门对档案管理工作的检查指导。服务期结束后，必须将全部资料移交采购人。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2.3.6项目总体要求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2.3.6.1在接到中标通知书至采购人正式委托管理前,中标人必须完成以下工作(但不限于以下工作)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2.3.6.1.1完成机构设置、岗位设置和人员配置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2.3.6.1.2完成管理人员上岗培训工作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2.3.6.1.3完成采购文件中要求，以及配合采购人完成有关制度、规程、技术管理细则、工程运行方案和调度原则等的修订完善等工作。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2.3.6.2本项目确定中标人后，由采购人和中标人签订管理合同，中标人未经采购人同意不得分包、转包，一经发现，采购人有权终止合同，由此给采购人造成的一切经济损失均由中标人承担。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2.3.6.3在签订委托维修养护合同的同时，中标人应与采购人签订廉政和安全生产责任协议。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2.3.6.4中标人在投标文件中承诺并经采购人认可的总运行班长、运行班长，未经采购人同意，中标人不得擅自调换和撤离。对中标人中不称职的工作人员，采购人有权要求中标人对其进行处理和撤换，中标人必须无条件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2.3.6.5中标人应遵守招标文件和项目合同中的有关规定和承诺，自觉接受采购人的检查、监督、管理工作，履行应尽职责。发现中标人有不符合有关规定或未全面响应有关招标文件以及相关合同内容的，由采购人发出整改通知，中标人应无条件接受，并做到及时整改。若发现管理工作不能满足采购人的管理要求和标准的，采购人可依据招标文件及合同中规定的考核办法对中标人进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2.3.6.6中标人应对其员工加强安全教育，并对员工的人身安全负全部责任。如因中标人原因如违反操作规程、不负责任、现场人员处理不及时等造成工程设备设施损坏缺失以及人员伤害，则由中标人承担由此引起的一切责任和经济损失。在采购人和中标人对事故责任无法统一的时候，则有上一级水行政主管部门组织有关专家对事故性质进行鉴定，以明确事故责任。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2.3.6.7当发生一般故障时，中标人必须组织力量及时修复，如发生事故时，应及时向采购人反映，并制定相应处理措施，争取在最短时间内恢复工程正常运行。如发生不配合采购人工作，故意拖延故障（事故）修复时间，因此造成影响和损失的，全部由中标人负责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2.3.6.8文明及环境管理方面，做好工程管理范围内环境卫生，闸站进出水口及附件卫生，设施设备无油渍灰尘，水尺及时擦拭，提供卫生保洁方案，明确保洁频次、保洁范围和保洁要求。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2.3.6.9管理人应向采购人提供的信息和文件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2.3.6.9.1定期上报的信息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2.3.6.9.1.1 管理月报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每月28日前，向采购人提交当月《工作月报》，主要内容：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⑴当月运行情况及运行资料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⑵维修养护情况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⑶存在的问题及需要提请采购人注意的事项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⑷大事记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⑸下月工作计划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⑹其他有关事项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2.3.6.9.1.2汛前、汛后工程检查报告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每年的3月28日、10月28日前，完成并向采购人提交所管工程定期检查报告。检查报告主要内容：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（1）工程概要（含设计指标、设计效益）。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（2）工程运用概要（含工程运用原则、运用情况等）。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（3）检查情况综述。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（4）检查发现的主要问题及处理意见。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（5）度汛措施（防汛抢险组织落实情况、度汛物资准备情况、防汛岁修工程完成情况）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2.3.6.9.1.3年度管理工作总结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每年的12月15日前完成并提交发包人。内容包括：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 工程运行管理情况综述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 履行合同情况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(3)工程运行管理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 工程存在问题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 建议和意见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2.3.6.9.1.4不定期的管理工作报告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1.关于降低运行费用、提高工程效益的建议。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2.关于工程运行管理工作的总结。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3.工程维修、设备大修总结</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2.3.6.9.1.5日常管理文件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1.工程管理日记及工程大事记。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2.运行管理协调会议纪要文件。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3.采购人通知、指令等。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4.运行管理记录、设备操作记录。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5.日常巡视检查记录。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6.其他管理业务往来文件。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7.管理人的请示、报告。</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2.3.7《扬州市城市河道管理处闸站工程管理考核办法》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了有效推进工程标准化、精细化管理，强化工程管理的过程控制，规范管理行为准则，执行管理规章制度，创新岗位管理和绩效考核机制，逐步建立先进科学、规范精细的工程管理模式，促进采购人工程管理工作不断迈上新台阶，为实现扬州市城市河道管理处（以下简称管理处）现代化建设目标奠定坚实基础。特制定本管理考核办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（2）管理考核按照精细化管理要求进行调整，实行百分制。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2.考核组织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确保考核工作全面、有序推进，日常考核由各片区管理所负责，季度考核由处考核小组负责，管护资金支付以各管理所的月考核结果为依据，资金分片区管理所按月计算应付金额，机电设备科统计按季度支付；季度考核结果具有一票否决权，若季度考核出现低于80分情况，则该季度管护项目资金支付金额以季度考核结果为准核减后，再对照月度考核结果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机电设备科主要负责组织、协调季度考核工作的开展、考核办法的制定、考核结果的汇总统计、负责最终考核结果的审定，财务科根据考核结果负责管护资金的支付等。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3.考核原则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（一）遵照行业规范；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（二）注重日常实绩；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（三）客观、公平、公正。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4.考核依据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（一）水利法律、法规及标准；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（二）委托管理合同、中标人的招投标文件；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（三）委托管理单位的安全协议、服务承诺和签订的其他相关协议；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（四）日常管理的实际效果；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（五）在突发故障及应急抢修等过程中的处置情况。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（六）在重大保障活动中及灾害性天气等过程中的执行力情况。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5.考核内容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根据项目的工作特点和任务重点，考核内容原则上对关键指标、安全工作、运行保障、服务质量、基础管理等方面进行细化考核（考核表详见附件）。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6.考核形式及流程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（一）考核采取日常考核和季度考核相结合的方式。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（二）日常考核由各管理所负责，主要考核委托管理单位日常工作实际情况，考核结果作为月度管护资金测算的依据。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（三）季度考核由处考核小组负责。考核小组通过查看委托管理单位工作台账、项目现场及委托管理单位自检报告，结合季度实际工作情况，按照考核表进行赋分，最终确定委托管理项目的季度考核结果。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7.考核结果及奖惩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（1）受到局机关及以上点名批评的，当月考核不合格，扣除当月管护运行费的5%。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（2）经媒体曝光查实的，当月考核不合格，扣除当月管护运行费的10%。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（3）因中标人责任，造成负面舆情影响的，当月考核不合格，扣除当月管护运行费的10%。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（4）一旦发现中标人人员违章操作，未造成不良后果的，扣除该季度考核分10分；造成不良后果的，当月考核不合格，扣除当月管护运行费的5%。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（5）采购人指出的管护问题，中标人未在规定时限内完成整改的，扣除当月考核得分10分，同一问题连续两次未完成整改的，当月考核不合格，扣除当月管护运行费的5%。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（6）在重大活动和突发事件时，中标人应遵从采购人指令，如未配合或配合不当，造成严重后果，当月考核不合格，扣除当月管护运行费的5%。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月度考核在80（含）分以上，当月管护费用全额支付；月度考核在70（含）-80（不含）分的，扣除当月管护运行费的5%后支付；月度考核在65（含）-70（不含）分的，扣除当月管护运行费的10%后支付；月度考核在65（不含）分以下的，当月管护费用不进行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季度考核具有一票否决权，委托管理单位季度考核在80分以上（含80）的，按各片区管理所各月得分情况，对照合同金额支付当季管护费用；季度考核在70（含）-80（不含）分的，先扣除当季度整体管护运行费的5%后，再按各片区管理所各月得分情况支付管护费用；季度考核在65（含）-70（不含）分的，先扣除当季度整体管护运行费的10%后，再按各片区管理所各月得分情况支付管护费用；季度考核在65（不含）分以下的，当季管护费用不进行支付。</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8.合同违约责任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（1）累计3个月出现管理所月考不合格情况。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（2）发生一般及以上安全责任事故，且事故主体责任为运行人员管护不到位。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（3）发生重大舆情事故或造成不良社会影响。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（4）未完成年度合同约定任务。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（5）被市级媒体或局机关及以上的上级部门通报批评两次及以上。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发生上述任何一种情形，采购人有权单方面解除与之签订的管护合同，造成社会影响的，并追究违约责任。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本考核办法由扬州市城市河道管理处负责解释。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扬州市城市河道管理处闸站管护项目考核表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考核类型：</w:t>
      </w:r>
      <w:r>
        <w:rPr>
          <w:rFonts w:ascii="Arial" w:hAnsi="Arial" w:eastAsia="Arial" w:cs="Arial"/>
          <w:b/>
          <w:color w:val="000000"/>
          <w:sz w:val="21"/>
        </w:rPr>
        <w:t xml:space="preserve"> </w:t>
      </w:r>
      <w:r>
        <w:rPr>
          <w:rFonts w:ascii="Arial" w:hAnsi="Arial" w:eastAsia="Arial" w:cs="Arial"/>
          <w:b/>
          <w:color w:val="000000"/>
          <w:sz w:val="21"/>
          <w:u w:val="single"/>
        </w:rPr>
        <w:t xml:space="preserve"> </w:t>
      </w:r>
      <w:r>
        <w:rPr>
          <w:rFonts w:ascii="SimSun" w:hAnsi="SimSun" w:eastAsia="SimSun" w:cs="SimSun"/>
          <w:b/>
          <w:color w:val="000000"/>
          <w:sz w:val="21"/>
          <w:u w:val="single"/>
        </w:rPr>
        <w:t xml:space="preserve">    考核</w:t>
      </w:r>
      <w:r>
        <w:rPr>
          <w:rFonts w:ascii="Arial" w:hAnsi="Arial" w:eastAsia="Arial" w:cs="Arial"/>
          <w:b/>
          <w:color w:val="000000"/>
          <w:sz w:val="21"/>
        </w:rPr>
        <w:t xml:space="preserve"> </w:t>
      </w:r>
      <w:r>
        <w:rPr>
          <w:rFonts w:ascii="SimSun" w:hAnsi="SimSun" w:eastAsia="SimSun" w:cs="SimSun"/>
          <w:b/>
          <w:color w:val="000000"/>
          <w:sz w:val="21"/>
        </w:rPr>
        <w:t xml:space="preserve">                              考核时间：</w:t>
      </w:r>
      <w:r>
        <w:rPr>
          <w:rFonts w:ascii="Arial" w:hAnsi="Arial" w:eastAsia="Arial" w:cs="Arial"/>
          <w:b/>
          <w:color w:val="000000"/>
          <w:sz w:val="21"/>
        </w:rPr>
        <w:t xml:space="preserve"> </w:t>
      </w:r>
      <w:r>
        <w:rPr>
          <w:rFonts w:ascii="Arial" w:hAnsi="Arial" w:eastAsia="Arial" w:cs="Arial"/>
          <w:b/>
          <w:color w:val="000000"/>
          <w:sz w:val="21"/>
          <w:u w:val="single"/>
        </w:rPr>
        <w:t xml:space="preserve">               </w:t>
      </w:r>
      <w:r>
        <w:rPr>
          <w:rFonts w:ascii="Arial" w:hAnsi="Arial" w:eastAsia="Arial" w:cs="Arial"/>
          <w:b/>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830"/>
        <w:gridCol w:w="4140"/>
        <w:gridCol w:w="743"/>
        <w:gridCol w:w="1093"/>
      </w:tblGrid>
      <w:tr>
        <w:trPr>
          <w:trHeight w:val="8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（100分）</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得分标准</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w:t>
            </w:r>
            <w:r/>
          </w:p>
        </w:tc>
      </w:tr>
      <w:tr>
        <w:trPr>
          <w:trHeight w:val="264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1、项目部机构健全。总运行班长负责各个站点巡查，非汛期每周至少一次，汛期每周至少二次。（4分）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2、运行管理人员数量、能力、技术素质的配备满足工程安全运行要求。管理人员队伍相对稳定，后方技术、人员等各项支撑落实。（4分）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tc>
      </w:tr>
      <w:tr>
        <w:trPr>
          <w:trHeight w:val="102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运行管理人员固定，执行管理所调配安排，若有人员变更，必须取得管理所负责人同意，若管理所提出人员变更需求，必须在5个工作日内完成人员变更。不服从安排，一次扣4分。（8分）</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管理人员在岗应保持精神饱满，衣着整洁，不做与管理工作无关的事。不符合要求，一次扣4分。（8分）</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运行值班人员必须严格执行值班制度，杜绝酒后上班、上班喝酒、睡觉、打牌和离岗现象。发现一人次扣4分。（8分）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1、工程运行（含试运行）严格执行调度指令。接到运行指令后，在30分钟内完成全部作业流程，并规范填写台账，确保机组安全运行。开机不及时，一次扣2分，机组开机流程错误，一次扣5分。（10分）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闸站运行管理必须严格操作规程，及时巡查运行中的设备状况，做好相关运行记录。如遇突发故障必须及时处理上报。违规操作、不及时巡查、台账填写不及时等情况，发现一次扣2分，操作错误，造成事故或故障的，扣10分，并追究其责任。（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numPr>
                <w:ilvl w:val="0"/>
                <w:numId w:val="5"/>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做好设施设备及配电房的除尘、保洁工作。一处不符合要求扣2分。（6分）</w:t>
            </w:r>
            <w:r/>
          </w:p>
          <w:p>
            <w:pPr>
              <w:numPr>
                <w:ilvl w:val="0"/>
                <w:numId w:val="5"/>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保证管理区域内的照明器具工作正常，保持完好。发现一处损坏且未按管理所要求及时更换的，扣2分。（6分）</w:t>
            </w:r>
            <w:r/>
          </w:p>
          <w:p>
            <w:pPr>
              <w:numPr>
                <w:ilvl w:val="0"/>
                <w:numId w:val="5"/>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设备、设施、管道、栏杆色标准确，油漆完好，无严重锈蚀，水标尺清洁完好有效。一处不符合要求，扣1分。（3分）</w:t>
            </w:r>
            <w:r/>
          </w:p>
          <w:p>
            <w:pPr>
              <w:numPr>
                <w:ilvl w:val="0"/>
                <w:numId w:val="5"/>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进出水口无漂浮物，金属结构及附件无水草、杂物等。一处不符合要求，扣2分。（6分）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5.启闭机按规定更换润滑油，无渗油现象。（3分）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做好定期养护工作，启闭机钢丝绳无断丝、变形情况，钢丝绳在卷筒上的固定及预绕圈符合规定，并排列整齐；螺杆无变形，并保持润滑。（3分）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高低压开关柜“五防”措施到位，各开关操作机构动作灵活，运行中无异常声响。开关柜内一次主接线连接处粘贴示温腊片，以便运行中掌握连接处温度是否存在过热。（2分）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1.安全操作规程、各项安全管理制度、各类预案齐全，并认真贯彻执行。（2分）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2.抓好安全隐患的排查、治理工作。发现隐患，及时加以治理。（2分）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3.按规定落实防火、防爆、防暑、防冰凌的安全措施，积极做好防范工作。（2分）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4.对消防器材进行定期巡查和养护，保证其齐全、完好、有效。(2分)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6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1.管理区内禁养家禽、家畜、禁止私自种植蔬菜，以保持其环境卫生、整洁。（3分）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2.按管理所要求，做好闸站运行区域的安全保卫工作，闲杂人员不得进入闸站工作场所。（3分）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8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w:t>
            </w:r>
            <w:r/>
          </w:p>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1.做好档案资料存储，并做好防火、防潮、防尘、防虫、防鼠、避光等工作。（2分）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2.每年的运行管理、设备操作记录等应及时收集、整理、分类、汇总和分析。（3分）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93" w:type="dxa"/>
            <w:vAlign w:val="top"/>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44" w:type="dxa"/>
            <w:vAlign w:val="center"/>
            <w:textDirection w:val="lrTb"/>
            <w:noWrap w:val="false"/>
          </w:tcPr>
          <w:p>
            <w:pPr>
              <w:ind w:left="0" w:right="-55"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考核得分总计</w:t>
            </w:r>
            <w:r/>
          </w:p>
        </w:tc>
        <w:tc>
          <w:tcPr>
            <w:gridSpan w:val="4"/>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80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分</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运行管理单位代表签字：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考核小组成员签名：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3.清单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扬州市城市河道管理处2026年闸站管护项目（采购包2）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71"/>
        <w:gridCol w:w="1022"/>
        <w:gridCol w:w="579"/>
        <w:gridCol w:w="579"/>
        <w:gridCol w:w="920"/>
        <w:gridCol w:w="920"/>
        <w:gridCol w:w="710"/>
        <w:gridCol w:w="764"/>
        <w:gridCol w:w="390"/>
      </w:tblGrid>
      <w:tr>
        <w:trPr>
          <w:trHeight w:val="9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定额编号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常规单位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常规数量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复价（元）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备注</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扬州市城市河道管理处2026年度闸站-包二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通运闸站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&gt;60t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2×400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七里闸站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液压式启闭机养护（启闭系统）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700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曲江闸站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2.0~2.5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700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太平闸站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700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双吊点 启门力(kN以下) 2×250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黄金坝片区管理所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高桥闸站、便益门闸站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高桥闸站、便益门闸站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泵叶直径(m) 0.8~1.2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竖轴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人字形钢闸门 自重(t) ≤30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2×400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700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沿山河新城河涵洞、沿山河黄泥沟涵洞、赵家支沟涵、四望亭涵洞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沿山河新城河涵洞、沿山河黄泥沟涵洞、赵家支沟涵、四望亭涵洞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双吊点 启门力(kN以下) 2×250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标志牌 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安墩闸片区管理所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安墩闸站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2.0~2.5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电机功率(kW) 250以下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供排水系统养护 泵站流量(m3/s) 50~100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回转式清污机 栅体宽度 ≤6.0m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卷扬式启闭机 双吊点 启门力(kN以下) 2×250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二道沟闸、念四闸站、江阳路节制闸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二道沟闸、念四闸站、江阳路节制闸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泵叶直径(m) 2.0~2.5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横轴 电机功率(kW) 250以下 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高压柜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低压柜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S3-86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电气柜(箱) 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回转式清污机 栅体宽度 ≤6.0m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桥式起重机 起重能力(t以下)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平面钢闸门 自重(t) ≤5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螺杆式启闭机 单吊点 启门力(kN以下) 250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液压式启闭机 启闭力(kN以下) 700 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钢丝绳上油 钢丝绳公称直径(mm以下) 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人员运行费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运行操作人员（全年值守）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D00005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培训人员费用（培训一个月）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闸区水面保洁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J4-253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 水域保洁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万m2·次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万m2·次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1664.746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1664.746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备注：不含电费，闸、站运行管护产生的电费由采购人与供电方结算。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报价中应包含运行人员保险费、服装费、交通费、食宿费及管理费、税金等。</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1、小微型企业价格扣除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（1）本项目对小型和微型企业服务给予20%的扣除价格，用扣除后的价格参与评审。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（2）供应商需按照采购文件的要求提供相应的《企业声明函》。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2、残疾人福利单位价格扣除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（1）本项目对残疾人福利性单位视同小型、微型企业，给予20%的价格扣除，用扣除后的价格参与评审。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3、监狱和戒毒企业价格扣除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（1）本项目对监狱和戒毒企业（简称监狱企业）视同小型、微型企业，给予20%的价格扣除，用扣除后的价格参与评审。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6、联合体各方均为小型、微型企业（残疾人福利单位、监狱企业）的，联合体享受20%价格扣除，用扣除后的价格参与评审。</w:t>
      </w:r>
      <w:r/>
    </w:p>
    <w:p>
      <w:pPr>
        <w:ind w:left="0" w:right="0" w:firstLine="56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8"/>
        <w:gridCol w:w="786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以满足招标文件要求的最低投标报价为评标基准价，得满分30分，其他投标报价得分=（评标基准价/其他投标报价）×30×100%。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19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资源配置（32分）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项目负责人能力和素质(7分)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1、具有水利专业高级工程师及以上职称得3分，水利专业工程师职称的得1分，其他不得分。</w:t>
            </w:r>
            <w:r>
              <w:rPr>
                <w:rFonts w:ascii="SimSun" w:hAnsi="SimSun" w:eastAsia="SimSun" w:cs="SimSun"/>
                <w:b/>
                <w:color w:val="000000"/>
                <w:sz w:val="21"/>
                <w:highlight w:val="yellow"/>
              </w:rPr>
              <w:t xml:space="preserve">（提供职称证书，原件扫描上传）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2、担任过至少一个类似项目项目负责人的，得2分。</w:t>
            </w:r>
            <w:r>
              <w:rPr>
                <w:rFonts w:ascii="SimSun" w:hAnsi="SimSun" w:eastAsia="SimSun" w:cs="SimSun"/>
                <w:b/>
                <w:color w:val="000000"/>
                <w:sz w:val="21"/>
                <w:highlight w:val="yellow"/>
              </w:rPr>
              <w:t xml:space="preserve">（提供相关业绩合同，原件扫描上传。如合同无法体现项目负责人，须提供由合同甲方出具的其他证明材料）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3、具有15年及以上类似工程运行管护工作经验的得2分；10（含）-14年（含）类似工程运行管护工作经验的得1分；5（含）-9年（含）类似工程运行管护工作经验的得0.5分；4年及以下不得分。</w:t>
            </w:r>
            <w:r>
              <w:rPr>
                <w:rFonts w:ascii="SimSun" w:hAnsi="SimSun" w:eastAsia="SimSun" w:cs="SimSun"/>
                <w:b/>
                <w:color w:val="000000"/>
                <w:sz w:val="21"/>
                <w:highlight w:val="yellow"/>
              </w:rPr>
              <w:t xml:space="preserve">（提供投标人出具的真实有效的人员工作经验年限说明，格式自拟并加盖投标人公章，原件扫描上传）</w:t>
            </w:r>
            <w:r/>
          </w:p>
        </w:tc>
      </w:tr>
      <w:tr>
        <w:trPr>
          <w:trHeight w:val="144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技术负责人(6分)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1、配备的技术人员为水利专业高级工程师及以上或高级技师及以上的得2分；为水利专业工程师或技师的得1分，最高得2分，其他不得分。</w:t>
            </w:r>
            <w:r>
              <w:rPr>
                <w:rFonts w:ascii="SimSun" w:hAnsi="SimSun" w:eastAsia="SimSun" w:cs="SimSun"/>
                <w:b/>
                <w:color w:val="000000"/>
                <w:sz w:val="21"/>
                <w:highlight w:val="yellow"/>
              </w:rPr>
              <w:t xml:space="preserve">（提供职称证书，原件扫描上传）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2、担任过至少一个类似项目技术负责人（或项目负责人）的，得2分。</w:t>
            </w:r>
            <w:r>
              <w:rPr>
                <w:rFonts w:ascii="SimSun" w:hAnsi="SimSun" w:eastAsia="SimSun" w:cs="SimSun"/>
                <w:b/>
                <w:color w:val="000000"/>
                <w:sz w:val="21"/>
                <w:highlight w:val="yellow"/>
              </w:rPr>
              <w:t xml:space="preserve">（提供相关业绩合同，原件扫描上传。如合同无法体现技术负责人（或项目负责人），须提供由合同甲方出具的其他证明材料）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3、具有10年及以上类似工程运行管护工作经验的得2分；5（含）-9年（含）类似工程运行管护工作经验的得1分；4年及以下不得分。</w:t>
            </w:r>
            <w:r>
              <w:rPr>
                <w:rFonts w:ascii="SimSun" w:hAnsi="SimSun" w:eastAsia="SimSun" w:cs="SimSun"/>
                <w:b/>
                <w:color w:val="000000"/>
                <w:sz w:val="21"/>
                <w:highlight w:val="yellow"/>
              </w:rPr>
              <w:t xml:space="preserve">（提供投标人出具的真实有效的人员工作经验年限说明，格式自拟并加盖投标人公章，原件扫描上传）</w:t>
            </w:r>
            <w:r/>
          </w:p>
        </w:tc>
      </w:tr>
      <w:tr>
        <w:trPr>
          <w:trHeight w:val="85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安全负责人（除项目负责人、技术负责人外）(2分)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配备的安全负责人具有高级工程师及以上职称或国家注册安全工程师证书的得2分，具有工程师职称的得1分，最高得2分，其他不得分。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须提供相关证书证明，原件扫描上传。</w:t>
            </w:r>
            <w:r/>
          </w:p>
        </w:tc>
      </w:tr>
      <w:tr>
        <w:trPr>
          <w:trHeight w:val="78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其他人员(12分)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配备的运行人员具有工程师及以上职称或技师及以上的，有1人得1分，满分12分。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须提供证书，原件扫描上传</w:t>
            </w:r>
            <w:r/>
          </w:p>
        </w:tc>
      </w:tr>
      <w:tr>
        <w:trPr>
          <w:trHeight w:val="1223"/>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后方技术支撑（5分）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1、提供运行管理机构、电气试验、水下检查、维修养护等单位出具的合同或报告原件，扫描上传，有一个得1分，满分4分。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2、承诺在管护期间内提供技术支撑的，得1分，满分1分。（提供承诺函，扫描上传）</w:t>
            </w:r>
            <w:r/>
          </w:p>
        </w:tc>
      </w:tr>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管护运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组织管理方案：</w:t>
            </w:r>
            <w:r>
              <w:rPr>
                <w:rFonts w:ascii="SimSun" w:hAnsi="SimSun" w:eastAsia="SimSun" w:cs="SimSun"/>
                <w:color w:val="000000"/>
                <w:sz w:val="21"/>
              </w:rPr>
              <w:t xml:space="preserve">要求内容表达清晰，优于招标文件要求得4分；符合招标文件要求得2分；不符合招标文件要求或未提供不得分。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教育培训方案</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要求内容表达清晰，优于招标文件要求得3分；符合招标文件要求得1分；不符合招标文件要求或未提供不得分。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安全管理方案：</w:t>
            </w:r>
            <w:r>
              <w:rPr>
                <w:rFonts w:ascii="SimSun" w:hAnsi="SimSun" w:eastAsia="SimSun" w:cs="SimSun"/>
                <w:color w:val="000000"/>
                <w:sz w:val="21"/>
              </w:rPr>
              <w:t xml:space="preserve">要求内容表达清晰，优于招标文件要求得4分；符合招标文件要求得2分；不符合招标文件要求或未提供不得分。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运行管理方案：</w:t>
            </w:r>
            <w:r>
              <w:rPr>
                <w:rFonts w:ascii="SimSun" w:hAnsi="SimSun" w:eastAsia="SimSun" w:cs="SimSun"/>
                <w:color w:val="000000"/>
                <w:sz w:val="21"/>
              </w:rPr>
              <w:t xml:space="preserve">要求内容表达清晰，优于招标文件要求得4分；符合招标文件要求得2分；不符合招标文件要求或未提供不得分。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巡查维修方案：</w:t>
            </w:r>
            <w:r>
              <w:rPr>
                <w:rFonts w:ascii="SimSun" w:hAnsi="SimSun" w:eastAsia="SimSun" w:cs="SimSun"/>
                <w:color w:val="000000"/>
                <w:sz w:val="21"/>
              </w:rPr>
              <w:t xml:space="preserve">要求内容表达清晰，优于招标文件要求得4分；符合招标文件要求得2分；不符合招标文件要求或未提供不得分。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台账建设方案：</w:t>
            </w:r>
            <w:r>
              <w:rPr>
                <w:rFonts w:ascii="SimSun" w:hAnsi="SimSun" w:eastAsia="SimSun" w:cs="SimSun"/>
                <w:color w:val="000000"/>
                <w:sz w:val="21"/>
              </w:rPr>
              <w:t xml:space="preserve">要求内容表达清晰，优于招标文件要求得3分；符合招标文件要求得1分；不符合招标文件要求或未提供不得分。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项目总体实施方案：</w:t>
            </w:r>
            <w:r>
              <w:rPr>
                <w:rFonts w:ascii="SimSun" w:hAnsi="SimSun" w:eastAsia="SimSun" w:cs="SimSun"/>
                <w:color w:val="000000"/>
                <w:sz w:val="21"/>
              </w:rPr>
              <w:t xml:space="preserve">要求内容表达清晰，优于招标文件要求得4分；符合招标文件要求得2分；不符合招标文件要求或未提供不得分。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投标人具有与本项目相关运行管理类科技创新或专利，每有1个得1分，满分3分。</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须提供证书，原件扫描上传</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投标人具有2022年1月1日以来（以合同签订时间为准）类似项目的业绩，每提供1个得3分，满分9分。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须提供合同，原件扫描上传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采购包2：</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2"/>
        <w:gridCol w:w="70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7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以满足招标文件要求的最低投标报价为评标基准价，得满分30分，其他投标报价得分=（评标基准价/其他投标报价）×30×100%。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19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资源配置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总运行班长能力和素质(7分)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1、具有水利专业高级工程师及以上职称得3分，具有水利专业工程师职称的得1分，其他不得分，满分3分。</w:t>
            </w:r>
            <w:r>
              <w:rPr>
                <w:rFonts w:ascii="SimSun" w:hAnsi="SimSun" w:eastAsia="SimSun" w:cs="SimSun"/>
                <w:b/>
                <w:color w:val="000000"/>
                <w:sz w:val="21"/>
                <w:highlight w:val="yellow"/>
              </w:rPr>
              <w:t xml:space="preserve">（提供职称证书，原件扫描上传）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2、担任过至少一个类似项目项目负责人的，得2分。</w:t>
            </w:r>
            <w:r>
              <w:rPr>
                <w:rFonts w:ascii="SimSun" w:hAnsi="SimSun" w:eastAsia="SimSun" w:cs="SimSun"/>
                <w:b/>
                <w:color w:val="000000"/>
                <w:sz w:val="21"/>
                <w:highlight w:val="yellow"/>
              </w:rPr>
              <w:t xml:space="preserve">（提供相关业绩合同，原件扫描上传。如合同无法体现项目负责人，须提供由合同甲方出具的其他证明材料）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3、具有10年及以上类似工程管护工作经验的得2分；6（含）-9年（含）类似工程管护工作经验的得1分；3（不含）-5年（含）类似工程管护工作经验的得0.5分；3年及以下不得分，满分2分。</w:t>
            </w:r>
            <w:r>
              <w:rPr>
                <w:rFonts w:ascii="SimSun" w:hAnsi="SimSun" w:eastAsia="SimSun" w:cs="SimSun"/>
                <w:b/>
                <w:color w:val="000000"/>
                <w:sz w:val="21"/>
                <w:highlight w:val="yellow"/>
              </w:rPr>
              <w:t xml:space="preserve">（提供投标人出具的真实有效的人员工作经验年限说明，格式自拟并加盖投标人公章，原件扫描上传）</w:t>
            </w:r>
            <w:r/>
          </w:p>
        </w:tc>
      </w:tr>
      <w:tr>
        <w:trPr>
          <w:trHeight w:val="196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运行班长(5分)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1、具有水利专业工程师及以上职称，每有1人得1分，满分2分。</w:t>
            </w:r>
            <w:r>
              <w:rPr>
                <w:rFonts w:ascii="SimSun" w:hAnsi="SimSun" w:eastAsia="SimSun" w:cs="SimSun"/>
                <w:b/>
                <w:color w:val="000000"/>
                <w:sz w:val="21"/>
                <w:highlight w:val="yellow"/>
              </w:rPr>
              <w:t xml:space="preserve">（提供职称证书，原件扫描上传）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2、具有5年及以上类似工程管护工作经验的，每有1人得1分；具有3（含）-5年（不含）类似工程管护工作经验的，每有1人得0.5分；其他不得分，满分3分。</w:t>
            </w:r>
            <w:r>
              <w:rPr>
                <w:rFonts w:ascii="SimSun" w:hAnsi="SimSun" w:eastAsia="SimSun" w:cs="SimSun"/>
                <w:b/>
                <w:color w:val="000000"/>
                <w:sz w:val="21"/>
                <w:highlight w:val="yellow"/>
              </w:rPr>
              <w:t xml:space="preserve">（提供投标人出具的真实有效的人员工作经验年限说明，格式自拟并加盖投标人公章，原件扫描上传）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总运行班长兼任运行班长的得分不可兼得，以高分计。</w:t>
            </w:r>
            <w:r/>
          </w:p>
        </w:tc>
      </w:tr>
      <w:tr>
        <w:trPr>
          <w:trHeight w:val="80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运行人员(15分)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配备的运行人员具有助理工程师及以上职称或高级工及以上的，有1人得1分，满分15分。</w:t>
            </w:r>
            <w:r>
              <w:rPr>
                <w:rFonts w:ascii="SimSun" w:hAnsi="SimSun" w:eastAsia="SimSun" w:cs="SimSun"/>
                <w:b/>
                <w:color w:val="000000"/>
                <w:sz w:val="21"/>
              </w:rPr>
              <w:t xml:space="preserve">须提供证书，原件扫描上传</w:t>
            </w:r>
            <w:r/>
          </w:p>
        </w:tc>
      </w:tr>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管护运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组织管理方案：</w:t>
            </w:r>
            <w:r>
              <w:rPr>
                <w:rFonts w:ascii="SimSun" w:hAnsi="SimSun" w:eastAsia="SimSun" w:cs="SimSun"/>
                <w:color w:val="000000"/>
                <w:sz w:val="21"/>
              </w:rPr>
              <w:t xml:space="preserve">要求内容表达清晰，优于招标文件要求得5分；符合招标文件要求得3分；不符合招标文件要求或未提供不得分。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安全管理方案：</w:t>
            </w:r>
            <w:r>
              <w:rPr>
                <w:rFonts w:ascii="SimSun" w:hAnsi="SimSun" w:eastAsia="SimSun" w:cs="SimSun"/>
                <w:color w:val="000000"/>
                <w:sz w:val="21"/>
              </w:rPr>
              <w:t xml:space="preserve">要求内容表达清晰，优于招标文件要求得6分；符合招标文件要求得3分；不符合招标文件要求或未提供不得分。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运行管理方案：</w:t>
            </w:r>
            <w:r>
              <w:rPr>
                <w:rFonts w:ascii="SimSun" w:hAnsi="SimSun" w:eastAsia="SimSun" w:cs="SimSun"/>
                <w:color w:val="000000"/>
                <w:sz w:val="21"/>
              </w:rPr>
              <w:t xml:space="preserve">要求内容表达清晰，优于招标文件要求得6分；符合招标文件要求得3分；不符合招标文件要求或未提供不得分。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巡查维修方案：</w:t>
            </w:r>
            <w:r>
              <w:rPr>
                <w:rFonts w:ascii="SimSun" w:hAnsi="SimSun" w:eastAsia="SimSun" w:cs="SimSun"/>
                <w:color w:val="000000"/>
                <w:sz w:val="21"/>
              </w:rPr>
              <w:t xml:space="preserve">要求内容表达清晰，优于招标文件要求得6分；符合招标文件要求得3分；不符合招标文件要求或未提供不得分。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台账建设方案：</w:t>
            </w:r>
            <w:r>
              <w:rPr>
                <w:rFonts w:ascii="SimSun" w:hAnsi="SimSun" w:eastAsia="SimSun" w:cs="SimSun"/>
                <w:color w:val="000000"/>
                <w:sz w:val="21"/>
              </w:rPr>
              <w:t xml:space="preserve">要求内容表达清晰，优于招标文件要求得5分；符合招标文件要求得3分；不符合招标文件要求或未提供不得分。</w:t>
            </w:r>
            <w:r/>
          </w:p>
        </w:tc>
      </w:tr>
      <w:tr>
        <w:trPr>
          <w:trHeight w:val="44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项目总体实施方案：</w:t>
            </w:r>
            <w:r>
              <w:rPr>
                <w:rFonts w:ascii="SimSun" w:hAnsi="SimSun" w:eastAsia="SimSun" w:cs="SimSun"/>
                <w:color w:val="000000"/>
                <w:sz w:val="21"/>
              </w:rPr>
              <w:t xml:space="preserve">要求内容表达清晰，优于招标文件要求得6分；符合招标文件要求得3分；不符合招标文件要求或未提供不得分。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投标人具有2022年1月1日以来（以合同签订时间为准）类似项目的业绩，每提供1个得3分，满分9分。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须提供合同，原件扫描上传</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center"/>
        <w:spacing w:before="220" w:after="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643"/>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三、非实质性响应对照表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w:t>
      </w:r>
      <w:r>
        <w:rPr>
          <w:rFonts w:ascii="SimSun" w:hAnsi="SimSun" w:eastAsia="SimSun" w:cs="SimSun"/>
          <w:i/>
          <w:color w:val="000000"/>
          <w:sz w:val="24"/>
          <w:u w:val="single"/>
        </w:rPr>
        <w:t xml:space="preserve">开标一览表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五、分项报价表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六、技术参数响应及偏离表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七、商务条款响应及偏离表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八、管护运行方案</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 （投标供应商认为有必要提供的声明和文件，如有自拟并自行添加）</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一、资格审查响应对照表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
        <w:gridCol w:w="8025"/>
        <w:gridCol w:w="969"/>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562"/>
              <w:jc w:val="center"/>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资格审查响应内容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是否响应（填是或者否）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0"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法人或者其他组织的营业执照等证明文件，自然人的身份证明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依法缴纳职工社会保障资金的证明材料(税务、银行或社会保险基金管理部门出具的近一年内任意一个月缴纳职工社会保障资金的缴款凭证或缴款证明)（投标供应商依法享受缓缴、免缴的提供证明材料）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投标供应商近一年内任意一份依法纳税的缴款凭证（投标供应商依法享受缓缴、免缴的提供证明材料）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上一年度的财务报告情况（成立不满一年不需提供）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具备履行合同所必需的设备和专业技术能力的证明材料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参加本次政府采购活动前3年内在经营活动中没有重大违法记录的书面声明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供应商信用承诺函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0"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采购包1：</w:t>
            </w:r>
            <w:r>
              <w:rPr>
                <w:rFonts w:ascii="SimSun" w:hAnsi="SimSun" w:eastAsia="SimSun" w:cs="SimSun"/>
                <w:color w:val="000000"/>
                <w:sz w:val="22"/>
              </w:rPr>
              <w:t xml:space="preserve">本项目对小型和微型企业、残疾人福利单位、监狱和戒毒企业给予20%的价格扣除。投标人投标时须提供《中小企业声明函》，不符合要求或未提供的不给予20%的价格扣除。</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采购包2：</w:t>
            </w:r>
            <w:r>
              <w:rPr>
                <w:rFonts w:ascii="SimSun" w:hAnsi="SimSun" w:eastAsia="SimSun" w:cs="SimSun"/>
                <w:color w:val="000000"/>
                <w:sz w:val="22"/>
              </w:rPr>
              <w:t xml:space="preserve">本项目专门面向中小企业采购。投标供应商投标时须提供《中小企业声明函》，《中小企业声明函》不符合要求或未提供的，投标文件无效。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0" w:type="dxa"/>
            <w:vAlign w:val="center"/>
            <w:textDirection w:val="lrTb"/>
            <w:noWrap/>
          </w:tcPr>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特定资格条件</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0" w:type="dxa"/>
            <w:vAlign w:val="center"/>
            <w:textDirection w:val="lrTb"/>
            <w:noWrap/>
          </w:tcPr>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其他资格条件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 w:type="dxa"/>
            <w:vAlign w:val="center"/>
            <w:textDirection w:val="lrTb"/>
            <w:noWrap/>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5" w:type="dxa"/>
            <w:vAlign w:val="center"/>
            <w:textDirection w:val="lrTb"/>
            <w:noWrap/>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具备履行合同所必需的设备和专业技术能力的书面声明</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6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参加本次政府采购活动前3年内在经营活动中没有重大违法记录的书面声明</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声明</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法定代表人签章：</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    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供应商信用承诺书</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承诺主体名称：</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一、对提供给注册登记部门、行业管理部门、司法部门、行业组织以及在政府采购活动中提交的所有资料的合法性、真实性、准确性和有效性负责；</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二、严格按照国家法律、法规和规章开展采购活动，全面履行应尽的责任和义务，全面做到履约守信，具备《中华人民共和国政府采购法》第二十二条第一款规定的条件;</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三、严格依法开展生产经营活动，主动接受行业监管，自愿接受依法开展的日常检查；违法失信经营后将自愿接受约束和惩戒，并依法承担相应责任；</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四、自觉接受行政管理部门、行业组织、社会公众、新闻舆论的监督；</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五、自觉做到自我约束、自我管理，不制假售假、商标侵权、虚假宣传、违约毁约、恶意逃债、偷税漏税、垄断和不正当竞争，维护经营者、消费者的合法权益；</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六、提出政府采购质疑和投诉坚持依法依规、诚实信用原则，在全国范围12个月内没有三次以上查无实据的政府采购投诉；</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七、严格遵守信用信息公示相关规定，向社会公示信用信息；</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八、在“信用中国”和“中国政府采购网”网站中无违法违规、较重或严重失信记录；</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十、本承诺书自签订之日起生效。</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（注：法定代表人或负责人、主体名称发生变更的应当重新做出承诺。）</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承诺单位（签章）：</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法定代表人（负责人）：</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    月   日</w:t>
      </w:r>
      <w:r/>
    </w:p>
    <w:p>
      <w:pPr>
        <w:ind w:left="0" w:right="0" w:firstLine="560"/>
        <w:jc w:val="center"/>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投标函格式</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致：扬州市城市河道管理处</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根据贵方的（）号招标文件，正式授权下述签字人_________________(姓名)代表我方______________（投标供应商的名称），全权处理本次项目投标的有关事宜。</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据此函，__________签字人（姓名）兹宣布同意如下：</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1.按招标文件规定的各项要求，向买方提供所需货物与服务。</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2.我们完全理解贵方不一定将合同授予最低报价的投标供应商。</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7.与本投标有关的正式通讯地址为：</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投标供应商开户行：</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行号：</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日期：________年____月____日</w:t>
      </w:r>
      <w:r/>
    </w:p>
    <w:p>
      <w:pPr>
        <w:ind w:left="0" w:right="0" w:firstLine="643"/>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法人授权书</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w:t>
      </w:r>
      <w:r>
        <w:rPr>
          <w:rFonts w:ascii="SimSun" w:hAnsi="SimSun" w:eastAsia="SimSun" w:cs="SimSun"/>
          <w:color w:val="000000"/>
          <w:sz w:val="21"/>
        </w:rPr>
        <w:t xml:space="preserve">________________</w:t>
      </w:r>
      <w:r>
        <w:rPr>
          <w:rFonts w:ascii="SimSun" w:hAnsi="SimSun" w:eastAsia="SimSun" w:cs="SimSun"/>
          <w:color w:val="000000"/>
          <w:sz w:val="22"/>
        </w:rPr>
        <w:t xml:space="preserve">（投标供应商名称）授权</w:t>
      </w:r>
      <w:r>
        <w:rPr>
          <w:rFonts w:ascii="SimSun" w:hAnsi="SimSun" w:eastAsia="SimSun" w:cs="SimSun"/>
          <w:color w:val="000000"/>
          <w:sz w:val="21"/>
        </w:rPr>
        <w:t xml:space="preserve">________________</w:t>
      </w:r>
      <w:r>
        <w:rPr>
          <w:rFonts w:ascii="SimSun" w:hAnsi="SimSun" w:eastAsia="SimSun" w:cs="SimSun"/>
          <w:color w:val="000000"/>
          <w:sz w:val="22"/>
        </w:rPr>
        <w:t xml:space="preserve">（被授权人的姓名）为我方就（项目编号）号（项目名称）项目采购活动的合法代理人，以本公司名义全权处理一切与该项目采购有关的事务。</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SimSun" w:hAnsi="SimSun" w:eastAsia="SimSun" w:cs="SimSun"/>
          <w:color w:val="000000"/>
          <w:sz w:val="21"/>
        </w:rPr>
        <w:t xml:space="preserve">______</w:t>
      </w:r>
      <w:r>
        <w:rPr>
          <w:rFonts w:ascii="SimSun" w:hAnsi="SimSun" w:eastAsia="SimSun" w:cs="SimSun"/>
          <w:color w:val="000000"/>
          <w:sz w:val="22"/>
        </w:rPr>
        <w:t xml:space="preserve">年</w:t>
      </w:r>
      <w:r>
        <w:rPr>
          <w:rFonts w:ascii="SimSun" w:hAnsi="SimSun" w:eastAsia="SimSun" w:cs="SimSun"/>
          <w:color w:val="000000"/>
          <w:sz w:val="21"/>
        </w:rPr>
        <w:t xml:space="preserve">____</w:t>
      </w:r>
      <w:r>
        <w:rPr>
          <w:rFonts w:ascii="SimSun" w:hAnsi="SimSun" w:eastAsia="SimSun" w:cs="SimSun"/>
          <w:color w:val="000000"/>
          <w:sz w:val="22"/>
        </w:rPr>
        <w:t xml:space="preserve">月</w:t>
      </w:r>
      <w:r>
        <w:rPr>
          <w:rFonts w:ascii="SimSun" w:hAnsi="SimSun" w:eastAsia="SimSun" w:cs="SimSun"/>
          <w:color w:val="000000"/>
          <w:sz w:val="21"/>
        </w:rPr>
        <w:t xml:space="preserve">____</w:t>
      </w:r>
      <w:r>
        <w:rPr>
          <w:rFonts w:ascii="SimSun" w:hAnsi="SimSun" w:eastAsia="SimSun" w:cs="SimSun"/>
          <w:color w:val="000000"/>
          <w:sz w:val="22"/>
        </w:rPr>
        <w:t xml:space="preserve">日起生效，特此声明。</w:t>
      </w:r>
      <w:r/>
    </w:p>
    <w:p>
      <w:pPr>
        <w:ind w:left="0" w:right="0" w:firstLine="42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被授权人姓名：</w:t>
      </w:r>
      <w:r>
        <w:rPr>
          <w:rFonts w:ascii="SimSun" w:hAnsi="SimSun" w:eastAsia="SimSun" w:cs="SimSun"/>
          <w:color w:val="000000"/>
          <w:sz w:val="21"/>
        </w:rPr>
        <w:t xml:space="preserve">_____________________</w:t>
      </w:r>
      <w:r>
        <w:rPr>
          <w:rFonts w:ascii="SimSun" w:hAnsi="SimSun" w:eastAsia="SimSun" w:cs="SimSun"/>
          <w:color w:val="000000"/>
          <w:sz w:val="22"/>
          <w:u w:val="single"/>
        </w:rPr>
        <w:t xml:space="preserve">         </w:t>
      </w:r>
      <w:r>
        <w:rPr>
          <w:rFonts w:ascii="SimSun" w:hAnsi="SimSun" w:eastAsia="SimSun" w:cs="SimSun"/>
          <w:color w:val="000000"/>
          <w:sz w:val="21"/>
        </w:rPr>
        <w:t xml:space="preserve">__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联系电话（手机）：</w:t>
      </w:r>
      <w:r>
        <w:rPr>
          <w:rFonts w:ascii="SimSun" w:hAnsi="SimSun" w:eastAsia="SimSun" w:cs="SimSun"/>
          <w:color w:val="000000"/>
          <w:sz w:val="21"/>
          <w:u w:val="single"/>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w:t>
      </w:r>
      <w:r>
        <w:rPr>
          <w:rFonts w:ascii="SimSun" w:hAnsi="SimSun" w:eastAsia="SimSun" w:cs="SimSun"/>
          <w:color w:val="000000"/>
          <w:sz w:val="21"/>
        </w:rPr>
        <w:t xml:space="preserve">____________________________________</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rPr>
          <w:rFonts w:ascii="Times New Roman" w:hAnsi="Times New Roman" w:eastAsia="Times New Roman" w:cs="Times New Roman"/>
          <w:color w:val="000000"/>
          <w:sz w:val="21"/>
          <w:u w:val="single"/>
        </w:rPr>
        <w:t xml:space="preserve">                                         </w:t>
      </w:r>
      <w:r/>
    </w:p>
    <w:p>
      <w:pPr>
        <w:ind w:left="0" w:right="0" w:firstLine="560"/>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被授权人身份证复印件</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p>
    <w:p>
      <w:pPr>
        <w:ind w:left="0" w:right="0" w:firstLine="482"/>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号）的规定，本公司参加南京金鼎工程造价评估有限责任公司的</w:t>
      </w:r>
      <w:r>
        <w:rPr>
          <w:rFonts w:ascii="SimSun" w:hAnsi="SimSun" w:eastAsia="SimSun" w:cs="SimSun"/>
          <w:color w:val="000000"/>
          <w:sz w:val="22"/>
          <w:u w:val="single"/>
        </w:rPr>
        <w:t xml:space="preserve">（项目名称）（分包号：**）</w:t>
      </w:r>
      <w:r>
        <w:rPr>
          <w:rFonts w:ascii="SimSun" w:hAnsi="SimSun" w:eastAsia="SimSun" w:cs="SimSun"/>
          <w:color w:val="000000"/>
          <w:sz w:val="22"/>
        </w:rPr>
        <w:t xml:space="preserve">采购活动，为符合相关政策要求的中小企业。企业的具体情况如下：</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（其他未列明行业）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42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420"/>
        <w:jc w:val="both"/>
        <w:spacing w:before="220" w:after="31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rPr>
          <w:rFonts w:ascii="Times New Roman" w:hAnsi="Times New Roman" w:eastAsia="Times New Roman" w:cs="Times New Roman"/>
          <w:color w:val="000000"/>
          <w:sz w:val="28"/>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（备注：中标人为残疾人福利单位的，此声明函将随中标结果同时公告，接受社会监督）</w:t>
      </w:r>
      <w:r/>
    </w:p>
    <w:p>
      <w:pPr>
        <w:ind w:left="0" w:right="0" w:firstLine="44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1"/>
        </w:rPr>
        <w:t xml:space="preserve"> </w:t>
      </w:r>
      <w:r/>
    </w:p>
    <w:p>
      <w:pPr>
        <w:ind w:left="0" w:right="1560" w:firstLine="44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1"/>
        </w:rPr>
        <w:t xml:space="preserve">             </w:t>
      </w:r>
      <w:r>
        <w:rPr>
          <w:rFonts w:ascii="SimSun" w:hAnsi="SimSun" w:eastAsia="SimSun" w:cs="SimSun"/>
          <w:color w:val="000000"/>
          <w:sz w:val="21"/>
        </w:rPr>
        <w:t xml:space="preserve">             投标人全称（加盖CA电子公章）：</w:t>
      </w:r>
      <w:r/>
    </w:p>
    <w:p>
      <w:pPr>
        <w:ind w:left="0" w:right="1560" w:firstLine="42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二、符合性审查响应对照表</w:t>
      </w:r>
      <w:r/>
    </w:p>
    <w:p>
      <w:pPr>
        <w:ind w:left="0" w:right="0" w:firstLine="64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6649"/>
        <w:gridCol w:w="1399"/>
        <w:gridCol w:w="79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2"/>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采购需求中必须满足的实质性要求（即加斜体下划线内容，每条详细列出）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tcPr>
          <w:p>
            <w:pPr>
              <w:ind w:left="0" w:right="0" w:firstLine="5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三、非实质性响应对照表</w:t>
      </w:r>
      <w:r/>
    </w:p>
    <w:p>
      <w:pPr>
        <w:ind w:left="0" w:right="0" w:firstLine="64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4970"/>
        <w:gridCol w:w="2045"/>
        <w:gridCol w:w="138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是否响应</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0"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5"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56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56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w:t>
            </w:r>
            <w:r>
              <w:rPr>
                <w:rFonts w:ascii="Arial" w:hAnsi="Arial" w:eastAsia="Arial" w:cs="Arial"/>
                <w:color w:val="000000"/>
                <w:sz w:val="22"/>
              </w:rPr>
              <w:t xml:space="preserve">标总报价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w:t>
            </w:r>
            <w:r>
              <w:rPr>
                <w:rFonts w:ascii="Arial" w:hAnsi="Arial" w:eastAsia="Arial" w:cs="Arial"/>
                <w:color w:val="000000"/>
                <w:sz w:val="22"/>
              </w:rPr>
              <w:t xml:space="preserve">写：</w:t>
            </w:r>
            <w:r/>
          </w:p>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w:t>
            </w:r>
            <w:r>
              <w:rPr>
                <w:rFonts w:ascii="Arial" w:hAnsi="Arial" w:eastAsia="Arial" w:cs="Arial"/>
                <w:color w:val="000000"/>
                <w:sz w:val="22"/>
              </w:rPr>
              <w:t xml:space="preserve">写：                                   （人民币：元）</w:t>
            </w:r>
            <w:r/>
          </w:p>
          <w:p>
            <w:pPr>
              <w:ind w:left="0" w:right="0" w:firstLine="56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投标供应商全称（盖章）：</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64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line="253"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五、分项报价表</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b/>
          <w:color w:val="000000"/>
          <w:sz w:val="21"/>
        </w:rPr>
        <w:t xml:space="preserve">分项报价表按照本招标文件第四章“项目需求”中各包的清单格式进行分项报价，分别填报单价和复价，要求填报完整，漏报项视为价格已分摊到其他清单项中。</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1、供应商必须按表中规定格式完整、清晰、正确填写，没有的应注明“无”字样, 不得缺项。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2、报价表中不得填报有选择性报价方案，该表中的报价应与投标文件中的报价完全一致。若有优惠条件请注明。报价表应由法定代表人或授权代表签字并加盖公章。</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3、单价和总价报价均应包括但不限于报价应包括所有人工、材料及税金、包装费、运杂费、保险费、卸力费、安装费、资料费、质保费、综合费用等直至完全交付采购人使用的所有费用。</w:t>
      </w:r>
      <w:r/>
    </w:p>
    <w:p>
      <w:pPr>
        <w:ind w:left="0" w:right="0" w:firstLine="420"/>
        <w:jc w:val="both"/>
        <w:spacing w:before="0" w:after="0" w:line="479"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4、招标代理服务费等不在报价中单列，包含在总价中，由中标供应商缴纳。</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六、技术参数响应及偏离表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7"/>
        <w:gridCol w:w="2367"/>
        <w:gridCol w:w="2506"/>
        <w:gridCol w:w="2190"/>
        <w:gridCol w:w="1355"/>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6"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6"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64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64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181" w:after="181"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七、商务条款响应及偏离表</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9"/>
        <w:gridCol w:w="2041"/>
        <w:gridCol w:w="2419"/>
        <w:gridCol w:w="1133"/>
        <w:gridCol w:w="27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9"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3" w:type="dxa"/>
            <w:vAlign w:val="center"/>
            <w:textDirection w:val="lrTb"/>
            <w:noWrap w:val="false"/>
          </w:tcPr>
          <w:p>
            <w:pPr>
              <w:ind w:left="0" w:right="0" w:firstLine="56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bl>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60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八、管护运行方案</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（供应商根据评分细则自行编制）</w:t>
      </w:r>
      <w:r/>
    </w:p>
    <w:p>
      <w:pPr>
        <w:ind w:left="0" w:right="0" w:firstLine="64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6"/>
        </w:numPr>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其他</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Microsoft YaHei">
    <w:panose1 w:val="020B0503020204020204"/>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4</cp:revision>
  <dcterms:created xsi:type="dcterms:W3CDTF">2025-12-03T01:19:15Z</dcterms:created>
  <dcterms:modified xsi:type="dcterms:W3CDTF">2025-12-11T03:18:39Z</dcterms:modified>
</cp:coreProperties>
</file>